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1005" w:rsidRDefault="00AA1873">
      <w:pPr>
        <w:pStyle w:val="24"/>
        <w:widowControl w:val="0"/>
        <w:ind w:left="5670"/>
        <w:jc w:val="left"/>
        <w:rPr>
          <w:sz w:val="28"/>
          <w:szCs w:val="28"/>
        </w:rPr>
      </w:pPr>
      <w:r>
        <w:rPr>
          <w:sz w:val="28"/>
          <w:szCs w:val="28"/>
        </w:rPr>
        <w:t>Приложение</w:t>
      </w:r>
    </w:p>
    <w:p w:rsidR="00541005" w:rsidRDefault="00AA1873">
      <w:pPr>
        <w:pStyle w:val="24"/>
        <w:widowControl w:val="0"/>
        <w:ind w:left="5670"/>
        <w:jc w:val="left"/>
        <w:rPr>
          <w:sz w:val="28"/>
          <w:szCs w:val="28"/>
        </w:rPr>
      </w:pPr>
      <w:r>
        <w:rPr>
          <w:sz w:val="28"/>
          <w:szCs w:val="28"/>
        </w:rPr>
        <w:t>УТВЕРЖДЕНА</w:t>
      </w:r>
    </w:p>
    <w:p w:rsidR="00541005" w:rsidRDefault="00AA1873">
      <w:pPr>
        <w:pStyle w:val="24"/>
        <w:widowControl w:val="0"/>
        <w:ind w:left="5670"/>
        <w:jc w:val="left"/>
        <w:rPr>
          <w:sz w:val="28"/>
          <w:szCs w:val="28"/>
        </w:rPr>
      </w:pPr>
      <w:r>
        <w:rPr>
          <w:sz w:val="28"/>
          <w:szCs w:val="28"/>
        </w:rPr>
        <w:t>постановлением</w:t>
      </w:r>
    </w:p>
    <w:p w:rsidR="00541005" w:rsidRDefault="00AA1873">
      <w:pPr>
        <w:pStyle w:val="24"/>
        <w:widowControl w:val="0"/>
        <w:ind w:left="5670"/>
        <w:jc w:val="left"/>
        <w:rPr>
          <w:sz w:val="28"/>
          <w:szCs w:val="28"/>
        </w:rPr>
      </w:pPr>
      <w:r>
        <w:rPr>
          <w:sz w:val="28"/>
          <w:szCs w:val="28"/>
        </w:rPr>
        <w:t>администрации района</w:t>
      </w:r>
    </w:p>
    <w:p w:rsidR="00541005" w:rsidRDefault="00AA1873">
      <w:pPr>
        <w:pStyle w:val="24"/>
        <w:widowControl w:val="0"/>
        <w:ind w:left="5670"/>
        <w:jc w:val="left"/>
        <w:rPr>
          <w:sz w:val="28"/>
          <w:szCs w:val="28"/>
        </w:rPr>
      </w:pPr>
      <w:r>
        <w:rPr>
          <w:sz w:val="28"/>
          <w:szCs w:val="28"/>
        </w:rPr>
        <w:t>от 26.11.2024 №648</w:t>
      </w:r>
    </w:p>
    <w:p w:rsidR="00541005" w:rsidRDefault="00541005">
      <w:pPr>
        <w:pStyle w:val="24"/>
        <w:widowControl w:val="0"/>
        <w:jc w:val="left"/>
        <w:rPr>
          <w:sz w:val="28"/>
          <w:szCs w:val="28"/>
        </w:rPr>
      </w:pPr>
    </w:p>
    <w:p w:rsidR="00541005" w:rsidRDefault="00541005">
      <w:pPr>
        <w:pStyle w:val="24"/>
        <w:widowControl w:val="0"/>
        <w:jc w:val="left"/>
        <w:rPr>
          <w:sz w:val="28"/>
          <w:szCs w:val="28"/>
        </w:rPr>
      </w:pPr>
    </w:p>
    <w:p w:rsidR="00541005" w:rsidRDefault="00AA1873">
      <w:pPr>
        <w:widowControl w:val="0"/>
        <w:jc w:val="center"/>
        <w:rPr>
          <w:rFonts w:ascii="Times New Roman" w:hAnsi="Times New Roman"/>
          <w:sz w:val="28"/>
          <w:szCs w:val="28"/>
        </w:rPr>
      </w:pPr>
      <w:r>
        <w:rPr>
          <w:rFonts w:ascii="Times New Roman" w:hAnsi="Times New Roman"/>
          <w:sz w:val="28"/>
          <w:szCs w:val="28"/>
        </w:rPr>
        <w:t>МЕТОДИКА</w:t>
      </w:r>
    </w:p>
    <w:p w:rsidR="00541005" w:rsidRDefault="00AA1873">
      <w:pPr>
        <w:widowControl w:val="0"/>
        <w:jc w:val="center"/>
        <w:rPr>
          <w:rFonts w:ascii="Times New Roman" w:hAnsi="Times New Roman"/>
          <w:sz w:val="28"/>
          <w:szCs w:val="28"/>
        </w:rPr>
      </w:pPr>
      <w:r>
        <w:rPr>
          <w:rFonts w:ascii="Times New Roman" w:hAnsi="Times New Roman"/>
          <w:sz w:val="28"/>
          <w:szCs w:val="28"/>
        </w:rPr>
        <w:t>прогнозирования поступлений доходов в бюджет города Барнаула</w:t>
      </w:r>
      <w:r>
        <w:rPr>
          <w:rFonts w:ascii="Times New Roman" w:hAnsi="Times New Roman"/>
          <w:sz w:val="28"/>
          <w:szCs w:val="28"/>
        </w:rPr>
        <w:t>, главным администратором которых является администрация</w:t>
      </w:r>
    </w:p>
    <w:p w:rsidR="00541005" w:rsidRDefault="00AA1873">
      <w:pPr>
        <w:widowControl w:val="0"/>
        <w:jc w:val="center"/>
        <w:rPr>
          <w:rFonts w:ascii="Times New Roman" w:hAnsi="Times New Roman"/>
          <w:sz w:val="28"/>
          <w:szCs w:val="28"/>
        </w:rPr>
      </w:pPr>
      <w:r>
        <w:rPr>
          <w:rFonts w:ascii="Times New Roman" w:hAnsi="Times New Roman"/>
          <w:sz w:val="28"/>
          <w:szCs w:val="28"/>
        </w:rPr>
        <w:t>Железнодорожного района города Барнаула</w:t>
      </w:r>
    </w:p>
    <w:p w:rsidR="00541005" w:rsidRDefault="00541005">
      <w:pPr>
        <w:widowControl w:val="0"/>
        <w:jc w:val="center"/>
        <w:rPr>
          <w:rFonts w:ascii="Times New Roman" w:hAnsi="Times New Roman"/>
          <w:sz w:val="28"/>
          <w:szCs w:val="28"/>
        </w:rPr>
      </w:pPr>
    </w:p>
    <w:p w:rsidR="00541005" w:rsidRDefault="00AA1873">
      <w:pPr>
        <w:widowControl w:val="0"/>
        <w:jc w:val="center"/>
        <w:rPr>
          <w:rFonts w:ascii="Times New Roman" w:hAnsi="Times New Roman"/>
          <w:sz w:val="28"/>
          <w:szCs w:val="28"/>
        </w:rPr>
      </w:pPr>
      <w:r>
        <w:rPr>
          <w:rFonts w:ascii="Times New Roman" w:hAnsi="Times New Roman"/>
          <w:sz w:val="28"/>
          <w:szCs w:val="28"/>
        </w:rPr>
        <w:t>1. Общие положения</w:t>
      </w:r>
    </w:p>
    <w:p w:rsidR="00541005" w:rsidRDefault="00541005">
      <w:pPr>
        <w:widowControl w:val="0"/>
        <w:ind w:firstLine="709"/>
        <w:jc w:val="center"/>
        <w:rPr>
          <w:rFonts w:ascii="Times New Roman" w:hAnsi="Times New Roman"/>
          <w:sz w:val="28"/>
          <w:szCs w:val="28"/>
        </w:rPr>
      </w:pPr>
    </w:p>
    <w:p w:rsidR="00541005" w:rsidRDefault="00AA1873">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Настоящая методика прогнозирования поступлений доходов</w:t>
      </w:r>
      <w:r>
        <w:rPr>
          <w:rFonts w:ascii="Times New Roman" w:hAnsi="Times New Roman" w:cs="Times New Roman"/>
          <w:sz w:val="28"/>
          <w:szCs w:val="28"/>
        </w:rPr>
        <w:br w:type="textWrapping" w:clear="all"/>
      </w:r>
      <w:r>
        <w:rPr>
          <w:rFonts w:ascii="Times New Roman" w:hAnsi="Times New Roman" w:cs="Times New Roman"/>
          <w:sz w:val="28"/>
          <w:szCs w:val="28"/>
        </w:rPr>
        <w:t>в бюджет города Барнаула (далее – методика) разработана в соответствии с пунктом 1 статьи 160.1 Бюджетного кодекса Российской Федерации, постановлением Правительства Российской Федерации от 23.06.2016 №574 «Об общих требованиях к методике прогнозирования поступлений доходов в бюджеты бюджетной системы Российской Федерации» и определяет параметры прогнозирования поступлений по доходам бюджета города Барнаула, главным администратором которых в соответств</w:t>
      </w:r>
      <w:r>
        <w:rPr>
          <w:rFonts w:ascii="Times New Roman" w:hAnsi="Times New Roman" w:cs="Times New Roman"/>
          <w:sz w:val="28"/>
          <w:szCs w:val="28"/>
        </w:rPr>
        <w:t>ии</w:t>
      </w:r>
      <w:r>
        <w:rPr>
          <w:rFonts w:ascii="Times New Roman" w:hAnsi="Times New Roman" w:cs="Times New Roman"/>
          <w:sz w:val="28"/>
          <w:szCs w:val="28"/>
        </w:rPr>
        <w:br/>
        <w:t>с постановлением администрации города от 17.11.2021 №1716</w:t>
      </w:r>
      <w:r>
        <w:rPr>
          <w:rFonts w:ascii="Times New Roman" w:hAnsi="Times New Roman" w:cs="Times New Roman"/>
          <w:sz w:val="28"/>
          <w:szCs w:val="28"/>
        </w:rPr>
        <w:br/>
        <w:t>«Об утверждении перечней главных администраторов доходов и источников финансирования дефицита бюджета города» является администрация Железнодорожного района города Барнаула.</w:t>
      </w:r>
    </w:p>
    <w:p w:rsidR="00541005" w:rsidRDefault="00AA1873">
      <w:pPr>
        <w:pStyle w:val="ConsPlusNormal"/>
        <w:widowControl w:val="0"/>
        <w:ind w:firstLine="709"/>
        <w:jc w:val="both"/>
        <w:rPr>
          <w:rFonts w:ascii="Times New Roman" w:hAnsi="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администрируемых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w:t>
      </w:r>
      <w:r>
        <w:rPr>
          <w:rFonts w:ascii="Times New Roman" w:hAnsi="Times New Roman"/>
          <w:sz w:val="28"/>
          <w:szCs w:val="28"/>
        </w:rPr>
        <w:t xml:space="preserve"> объема поступлений по каждому виду доходов бюджета.</w:t>
      </w:r>
    </w:p>
    <w:p w:rsidR="00541005" w:rsidRDefault="00AA1873">
      <w:pPr>
        <w:widowControl w:val="0"/>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w:t>
      </w:r>
      <w:r>
        <w:rPr>
          <w:rFonts w:ascii="Times New Roman" w:hAnsi="Times New Roman"/>
          <w:sz w:val="28"/>
          <w:szCs w:val="28"/>
        </w:rPr>
        <w:t>ьзуемых для расчета прогнозного объема поступлений, с учетом их фактических значений.</w:t>
      </w:r>
    </w:p>
    <w:p w:rsidR="00541005" w:rsidRDefault="00AA1873">
      <w:pPr>
        <w:widowControl w:val="0"/>
        <w:ind w:firstLine="709"/>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При прогнозировании администрируемых доходов применяются следующие методы прогнозирования:</w:t>
      </w:r>
    </w:p>
    <w:p w:rsidR="00541005" w:rsidRDefault="00AA1873">
      <w:pPr>
        <w:widowControl w:val="0"/>
        <w:ind w:firstLine="709"/>
        <w:jc w:val="both"/>
        <w:rPr>
          <w:rFonts w:ascii="Times New Roman" w:hAnsi="Times New Roman"/>
          <w:sz w:val="28"/>
          <w:szCs w:val="28"/>
        </w:rPr>
      </w:pPr>
      <w:r>
        <w:rPr>
          <w:rFonts w:ascii="Times New Roman" w:hAnsi="Times New Roman"/>
          <w:sz w:val="28"/>
          <w:szCs w:val="28"/>
        </w:rPr>
        <w:lastRenderedPageBreak/>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541005" w:rsidRDefault="00AA1873">
      <w:pPr>
        <w:widowControl w:val="0"/>
        <w:ind w:firstLine="709"/>
        <w:jc w:val="both"/>
        <w:rPr>
          <w:rFonts w:ascii="Times New Roman" w:hAnsi="Times New Roman"/>
          <w:sz w:val="28"/>
          <w:szCs w:val="28"/>
        </w:rPr>
      </w:pPr>
      <w:r>
        <w:rPr>
          <w:rFonts w:ascii="Times New Roman" w:hAnsi="Times New Roman"/>
          <w:sz w:val="28"/>
          <w:szCs w:val="28"/>
        </w:rP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541005" w:rsidRDefault="00AA1873">
      <w:pPr>
        <w:ind w:firstLine="709"/>
        <w:jc w:val="both"/>
        <w:rPr>
          <w:rFonts w:ascii="Times New Roman" w:hAnsi="Times New Roman"/>
          <w:sz w:val="28"/>
          <w:szCs w:val="28"/>
        </w:rPr>
      </w:pPr>
      <w:r>
        <w:rPr>
          <w:rFonts w:ascii="Times New Roman" w:hAnsi="Times New Roman"/>
          <w:sz w:val="28"/>
          <w:szCs w:val="28"/>
        </w:rPr>
        <w:t>индексация - расчет с применением индекса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rsidR="00541005" w:rsidRDefault="00AA1873">
      <w:pPr>
        <w:ind w:firstLine="709"/>
        <w:jc w:val="both"/>
        <w:rPr>
          <w:rFonts w:ascii="Times New Roman" w:hAnsi="Times New Roman"/>
          <w:color w:val="000000"/>
          <w:sz w:val="28"/>
          <w:szCs w:val="28"/>
        </w:rPr>
      </w:pPr>
      <w:r>
        <w:rPr>
          <w:rFonts w:ascii="Times New Roman" w:hAnsi="Times New Roman"/>
          <w:color w:val="000000"/>
          <w:sz w:val="28"/>
          <w:szCs w:val="28"/>
        </w:rPr>
        <w:t>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w:t>
      </w:r>
    </w:p>
    <w:p w:rsidR="00541005" w:rsidRDefault="00AA1873">
      <w:pPr>
        <w:widowControl w:val="0"/>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t>Прогнозирование поступлений доходов осуществляется на основе бюджетного законодательства Российской Федерации, нормативных муниципальных правовых актов, регулирующих бюджетные правоотношения, действующих на момент составления прогноза доходов с учетом изменений, вступающих в силу в прогнозируемом периоде.</w:t>
      </w:r>
    </w:p>
    <w:p w:rsidR="00541005" w:rsidRDefault="00AA1873">
      <w:pPr>
        <w:pStyle w:val="ConsPlusNormal"/>
        <w:widowControl w:val="0"/>
        <w:ind w:firstLine="709"/>
        <w:jc w:val="both"/>
        <w:rPr>
          <w:rFonts w:ascii="Times New Roman" w:hAnsi="Times New Roman" w:cs="Times New Roman"/>
          <w:sz w:val="28"/>
          <w:szCs w:val="28"/>
        </w:rPr>
      </w:pPr>
      <w:r>
        <w:rPr>
          <w:rStyle w:val="fontstyle01"/>
          <w:rFonts w:ascii="Times New Roman" w:hAnsi="Times New Roman"/>
        </w:rPr>
        <w:t>1.6.</w:t>
      </w:r>
      <w:r>
        <w:rPr>
          <w:rStyle w:val="fontstyle01"/>
          <w:rFonts w:ascii="Times New Roman" w:hAnsi="Times New Roman"/>
        </w:rPr>
        <w:tab/>
        <w:t>Прогнозирование доходов осуществляется в рублях</w:t>
      </w:r>
      <w:r>
        <w:rPr>
          <w:rStyle w:val="fontstyle01"/>
          <w:rFonts w:ascii="Times New Roman" w:hAnsi="Times New Roman"/>
        </w:rPr>
        <w:t>. Расчеты по доходам в размере менее ста рублей в прогноз поступлений доходов в бюджет города Барнаула не включаются.</w:t>
      </w:r>
    </w:p>
    <w:p w:rsidR="00541005" w:rsidRDefault="00541005">
      <w:pPr>
        <w:widowControl w:val="0"/>
        <w:ind w:firstLine="709"/>
        <w:jc w:val="both"/>
        <w:rPr>
          <w:rFonts w:ascii="Times New Roman" w:hAnsi="Times New Roman"/>
          <w:sz w:val="28"/>
          <w:szCs w:val="28"/>
        </w:rPr>
      </w:pPr>
    </w:p>
    <w:p w:rsidR="00541005" w:rsidRDefault="00AA1873">
      <w:pPr>
        <w:pStyle w:val="ConsPlusNormal"/>
        <w:widowControl w:val="0"/>
        <w:ind w:firstLine="709"/>
        <w:jc w:val="center"/>
        <w:rPr>
          <w:rFonts w:ascii="Times New Roman" w:hAnsi="Times New Roman" w:cs="Times New Roman"/>
          <w:sz w:val="28"/>
          <w:szCs w:val="28"/>
        </w:rPr>
      </w:pPr>
      <w:r>
        <w:rPr>
          <w:rFonts w:ascii="Times New Roman" w:hAnsi="Times New Roman" w:cs="Times New Roman"/>
          <w:sz w:val="28"/>
          <w:szCs w:val="28"/>
        </w:rPr>
        <w:t>2. Прогнозирование поступлений по видам доходов</w:t>
      </w:r>
    </w:p>
    <w:p w:rsidR="00541005" w:rsidRDefault="00AA1873">
      <w:pPr>
        <w:pStyle w:val="ConsPlusNormal"/>
        <w:widowControl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541005" w:rsidRDefault="00AA1873">
      <w:pPr>
        <w:widowControl w:val="0"/>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В состав прогнозируемых главным администратором доходов неналоговых доходов бюджета, по которым составляются расчеты, включаются:</w:t>
      </w:r>
    </w:p>
    <w:p w:rsidR="00541005" w:rsidRDefault="00AA1873">
      <w:pPr>
        <w:pStyle w:val="ConsPlusNormal"/>
        <w:widowControl w:val="0"/>
        <w:numPr>
          <w:ilvl w:val="0"/>
          <w:numId w:val="5"/>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(код бюджетной классификации 991 1 11 05012 04 0000 12);</w:t>
      </w:r>
    </w:p>
    <w:p w:rsidR="00541005" w:rsidRDefault="00AA1873">
      <w:pPr>
        <w:pStyle w:val="ConsPlusNormal"/>
        <w:widowControl w:v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Pr>
          <w:rFonts w:ascii="Times New Roman" w:hAnsi="Times New Roman" w:cs="Times New Roman"/>
          <w:sz w:val="28"/>
          <w:szCs w:val="28"/>
        </w:rPr>
        <w:t xml:space="preserve"> (код бюджетной классификации </w:t>
      </w:r>
      <w:r>
        <w:rPr>
          <w:rFonts w:ascii="Times New Roman" w:hAnsi="Times New Roman" w:cs="Times New Roman"/>
          <w:sz w:val="28"/>
          <w:szCs w:val="28"/>
        </w:rPr>
        <w:t xml:space="preserve">                                    991 </w:t>
      </w:r>
      <w:r>
        <w:rPr>
          <w:rFonts w:ascii="Times New Roman" w:hAnsi="Times New Roman" w:cs="Times New Roman"/>
          <w:sz w:val="28"/>
          <w:szCs w:val="28"/>
          <w:shd w:val="clear" w:color="auto" w:fill="FFFFFF"/>
        </w:rPr>
        <w:t>1 11 09080 04 0000 120</w:t>
      </w:r>
      <w:r>
        <w:rPr>
          <w:rFonts w:ascii="Times New Roman" w:hAnsi="Times New Roman" w:cs="Times New Roman"/>
          <w:sz w:val="28"/>
          <w:szCs w:val="28"/>
        </w:rPr>
        <w:t>);</w:t>
      </w:r>
    </w:p>
    <w:p w:rsidR="00541005" w:rsidRDefault="00AA1873">
      <w:pPr>
        <w:pStyle w:val="ad"/>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(код бюджетной </w:t>
      </w:r>
      <w:r>
        <w:rPr>
          <w:rFonts w:ascii="Times New Roman" w:hAnsi="Times New Roman"/>
          <w:sz w:val="28"/>
          <w:szCs w:val="28"/>
        </w:rPr>
        <w:lastRenderedPageBreak/>
        <w:t>классификации - 991 1 16 02020 02 0000 140);</w:t>
      </w:r>
    </w:p>
    <w:p w:rsidR="00541005" w:rsidRDefault="00AA1873">
      <w:pPr>
        <w:pStyle w:val="ConsPlusNormal"/>
        <w:widowControl w:v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прочие доходы от компенсации затрат бюджетов городских округов </w:t>
      </w:r>
      <w:r>
        <w:rPr>
          <w:rFonts w:ascii="Times New Roman" w:hAnsi="Times New Roman"/>
          <w:sz w:val="28"/>
          <w:szCs w:val="28"/>
        </w:rPr>
        <w:t>(</w:t>
      </w:r>
      <w:r>
        <w:rPr>
          <w:rFonts w:ascii="Times New Roman" w:hAnsi="Times New Roman" w:cs="Times New Roman"/>
          <w:sz w:val="28"/>
          <w:szCs w:val="28"/>
        </w:rPr>
        <w:t>коды бюджетной классификации</w:t>
      </w:r>
      <w:r>
        <w:rPr>
          <w:rFonts w:ascii="Times New Roman" w:hAnsi="Times New Roman"/>
          <w:sz w:val="28"/>
          <w:szCs w:val="28"/>
        </w:rPr>
        <w:t xml:space="preserve"> - 991 1 13 02994 04 0012 130 «Прочие доходы от компенсации затрат бюджетов городских округов (возмещение расходов по демонтажу рекламных конструкций),                            991 1 13 02994 04 0015 130 «Прочие доходы от компенсации затрат бюджетов городских округов (иные возвраты и возмещения)»);</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(код бюджетной классификации - 991 1 11 09044 04 0000 120);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доходы, поступающие в порядке возмещения расходов, понесенных в связи с эксплуатацией имущества городских округов                 (код бюджетной классификации - 991 1 13 02064 04 0000 130);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 xml:space="preserve">административные штрафы, установленные </w:t>
      </w:r>
      <w:hyperlink r:id="rId7" w:history="1">
        <w:r>
          <w:rPr>
            <w:rFonts w:ascii="Times New Roman" w:hAnsi="Times New Roman"/>
            <w:sz w:val="28"/>
            <w:szCs w:val="28"/>
          </w:rPr>
          <w:t>главой 7</w:t>
        </w:r>
      </w:hyperlink>
      <w:r>
        <w:rPr>
          <w:rFonts w:ascii="Times New Roman" w:hAnsi="Times New Roman"/>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(код бюджетной классификации - 991 1 16 01074 01 0000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 (код бюджетной классификации - 991 1 16 07010 04 0007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 (код бюджетной классификации - 991 1 16 07090 04 0002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 (код бюджетной классификации - 991 1 16 07090 04 0003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 (код бюджетной классификации -                             </w:t>
      </w:r>
      <w:r>
        <w:rPr>
          <w:rFonts w:ascii="Times New Roman" w:hAnsi="Times New Roman"/>
          <w:sz w:val="28"/>
          <w:szCs w:val="28"/>
        </w:rPr>
        <w:lastRenderedPageBreak/>
        <w:t>991 1 16 07090 04 0004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 (код бюджетной классификации - 991 1 16 07090 04 0006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платежи в целях возмещения убытков, причиненных</w:t>
      </w:r>
      <w:r>
        <w:rPr>
          <w:rFonts w:ascii="Times New Roman" w:hAnsi="Times New Roman"/>
          <w:sz w:val="28"/>
          <w:szCs w:val="28"/>
        </w:rPr>
        <w:t xml:space="preserve">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(код бюджетной классификации - </w:t>
      </w:r>
      <w:r>
        <w:rPr>
          <w:rFonts w:ascii="Times New Roman" w:hAnsi="Times New Roman"/>
          <w:sz w:val="28"/>
          <w:szCs w:val="28"/>
        </w:rPr>
        <w:t xml:space="preserve">            991 1 16 10061 04 0000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(код бюджетной классификации - 991 1 16 10081 04 0000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(код бюджетной классификации -             </w:t>
      </w:r>
      <w:r>
        <w:rPr>
          <w:rFonts w:ascii="Times New Roman" w:hAnsi="Times New Roman"/>
          <w:sz w:val="28"/>
          <w:szCs w:val="28"/>
        </w:rPr>
        <w:t xml:space="preserve">    991 1 16 10123 01 0041 140);</w:t>
      </w:r>
    </w:p>
    <w:p w:rsidR="00541005" w:rsidRDefault="00AA1873">
      <w:pPr>
        <w:widowControl w:val="0"/>
        <w:numPr>
          <w:ilvl w:val="0"/>
          <w:numId w:val="5"/>
        </w:numPr>
        <w:ind w:left="0" w:firstLine="709"/>
        <w:jc w:val="both"/>
        <w:rPr>
          <w:rFonts w:ascii="Times New Roman" w:hAnsi="Times New Roman"/>
          <w:sz w:val="28"/>
          <w:szCs w:val="28"/>
        </w:rPr>
      </w:pPr>
      <w:r>
        <w:rPr>
          <w:rFonts w:ascii="Times New Roman" w:hAnsi="Times New Roman"/>
          <w:sz w:val="28"/>
          <w:szCs w:val="28"/>
        </w:rPr>
        <w:t>прочие неналоговые доходы бюджетов городских округов (код бюджетной классификации -  991 1 17 05040 04 0000 180).</w:t>
      </w:r>
    </w:p>
    <w:p w:rsidR="00541005" w:rsidRDefault="00AA1873">
      <w:pPr>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t>К непрогнозируемым доходам относятся:</w:t>
      </w:r>
    </w:p>
    <w:p w:rsidR="00541005" w:rsidRDefault="00AA1873">
      <w:pPr>
        <w:tabs>
          <w:tab w:val="left" w:pos="1276"/>
        </w:tabs>
        <w:ind w:firstLine="709"/>
        <w:jc w:val="both"/>
        <w:rPr>
          <w:rFonts w:ascii="Times New Roman" w:hAnsi="Times New Roman"/>
          <w:sz w:val="28"/>
          <w:szCs w:val="28"/>
        </w:rPr>
      </w:pPr>
      <w:r>
        <w:rPr>
          <w:rFonts w:ascii="Times New Roman" w:hAnsi="Times New Roman"/>
          <w:sz w:val="28"/>
          <w:szCs w:val="28"/>
        </w:rPr>
        <w:t>а) невыясненные поступления, зачисляемые в бюджеты городских округов (код бюджетной классификации -  991 1 17 01040 04 0000 180);</w:t>
      </w:r>
    </w:p>
    <w:p w:rsidR="00541005" w:rsidRDefault="00AA1873">
      <w:pPr>
        <w:ind w:firstLine="709"/>
        <w:jc w:val="both"/>
        <w:rPr>
          <w:rFonts w:ascii="Times New Roman" w:hAnsi="Times New Roman"/>
          <w:sz w:val="28"/>
          <w:szCs w:val="28"/>
        </w:rPr>
      </w:pPr>
      <w:r>
        <w:rPr>
          <w:rFonts w:ascii="Times New Roman" w:hAnsi="Times New Roman"/>
          <w:sz w:val="28"/>
          <w:szCs w:val="28"/>
        </w:rPr>
        <w:t>б) инициативные платежи (код бюджетной классификации -                 991 1 17 15000 00 0000 150);</w:t>
      </w:r>
    </w:p>
    <w:p w:rsidR="00541005" w:rsidRDefault="00AA1873">
      <w:pPr>
        <w:ind w:firstLine="709"/>
        <w:jc w:val="both"/>
        <w:rPr>
          <w:rFonts w:ascii="Times New Roman" w:hAnsi="Times New Roman"/>
          <w:sz w:val="28"/>
          <w:szCs w:val="28"/>
        </w:rPr>
      </w:pPr>
      <w:r>
        <w:rPr>
          <w:rFonts w:ascii="Times New Roman" w:hAnsi="Times New Roman"/>
          <w:sz w:val="28"/>
          <w:szCs w:val="28"/>
        </w:rPr>
        <w:t>в) поступления от денежных пожертвований, предоставляемых негосударственными организациями получателям средств бюджетов городских округов (код бюджетной классификации -                                                 991 2 04 04020 04 0000 150);</w:t>
      </w:r>
    </w:p>
    <w:p w:rsidR="00541005" w:rsidRDefault="00AA1873">
      <w:pPr>
        <w:ind w:firstLine="709"/>
        <w:jc w:val="both"/>
        <w:rPr>
          <w:rFonts w:ascii="Times New Roman" w:hAnsi="Times New Roman"/>
          <w:sz w:val="28"/>
          <w:szCs w:val="28"/>
        </w:rPr>
      </w:pPr>
      <w:r>
        <w:rPr>
          <w:rFonts w:ascii="Times New Roman" w:hAnsi="Times New Roman"/>
          <w:sz w:val="28"/>
          <w:szCs w:val="28"/>
        </w:rPr>
        <w:lastRenderedPageBreak/>
        <w:t>г)</w:t>
      </w:r>
      <w:r>
        <w:t xml:space="preserve"> </w:t>
      </w:r>
      <w:r>
        <w:rPr>
          <w:rFonts w:ascii="Times New Roman" w:hAnsi="Times New Roman"/>
          <w:sz w:val="28"/>
          <w:szCs w:val="28"/>
        </w:rPr>
        <w:t>поступления от денежных пожертвований, предоставляемых физическими лицами получателям средств бюджетов городских округов (код бюджетной классификации -  991 2 07 04020 04 0000 150).</w:t>
      </w:r>
    </w:p>
    <w:p w:rsidR="00541005" w:rsidRDefault="00AA1873">
      <w:pPr>
        <w:ind w:firstLine="709"/>
        <w:jc w:val="both"/>
        <w:rPr>
          <w:rFonts w:ascii="Times New Roman" w:hAnsi="Times New Roman"/>
          <w:sz w:val="28"/>
          <w:szCs w:val="28"/>
        </w:rPr>
      </w:pPr>
      <w:r>
        <w:rPr>
          <w:rFonts w:ascii="Times New Roman" w:hAnsi="Times New Roman"/>
          <w:sz w:val="28"/>
          <w:szCs w:val="28"/>
        </w:rPr>
        <w:t>Поступления по указанным доходам на очередной финансовый год и на плановый период прогнозируются на нулевом уровне, на текущий финансовый год – с учетом уточнения платежей за предыдущие отчетные периоды.</w:t>
      </w:r>
    </w:p>
    <w:p w:rsidR="00541005" w:rsidRDefault="00AA1873">
      <w:pPr>
        <w:ind w:firstLine="709"/>
        <w:jc w:val="both"/>
        <w:rPr>
          <w:rFonts w:ascii="Times New Roman" w:hAnsi="Times New Roman"/>
          <w:sz w:val="28"/>
          <w:szCs w:val="28"/>
        </w:rPr>
      </w:pPr>
      <w:r>
        <w:rPr>
          <w:rFonts w:ascii="Times New Roman" w:hAnsi="Times New Roman"/>
          <w:sz w:val="28"/>
          <w:szCs w:val="28"/>
        </w:rPr>
        <w:t>2.3. При расчете прогнозного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осуществляется исходя из задолженности, отраженной в бюджетной отчетности администрации Железнодорожного района города Барнаула.</w:t>
      </w:r>
    </w:p>
    <w:p w:rsidR="00541005" w:rsidRDefault="00AA1873">
      <w:pPr>
        <w:widowControl w:val="0"/>
        <w:tabs>
          <w:tab w:val="left" w:pos="1418"/>
          <w:tab w:val="left" w:pos="2127"/>
        </w:tabs>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r>
      <w:hyperlink w:anchor="P94" w:history="1">
        <w:r>
          <w:rPr>
            <w:rFonts w:ascii="Times New Roman" w:hAnsi="Times New Roman"/>
            <w:sz w:val="28"/>
            <w:szCs w:val="28"/>
          </w:rPr>
          <w:t>Методика</w:t>
        </w:r>
      </w:hyperlink>
      <w:r>
        <w:rPr>
          <w:rFonts w:ascii="Times New Roman" w:hAnsi="Times New Roman"/>
          <w:sz w:val="28"/>
          <w:szCs w:val="28"/>
        </w:rPr>
        <w:t xml:space="preserve"> прогнозирования поступлений доходов в бюджет города Барнаула, главным администратором которых является администрация Железнодорожного района города Барнаула, изложена в приложении к настоящей методике.</w:t>
      </w:r>
    </w:p>
    <w:sectPr w:rsidR="00541005">
      <w:headerReference w:type="even" r:id="rId8"/>
      <w:headerReference w:type="default" r:id="rId9"/>
      <w:headerReference w:type="first" r:id="rId10"/>
      <w:pgSz w:w="11907" w:h="16840"/>
      <w:pgMar w:top="1134" w:right="851" w:bottom="1135" w:left="1985" w:header="709" w:footer="2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1005" w:rsidRDefault="00AA1873">
      <w:r>
        <w:separator/>
      </w:r>
    </w:p>
  </w:endnote>
  <w:endnote w:type="continuationSeparator" w:id="0">
    <w:p w:rsidR="00541005" w:rsidRDefault="00AA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NewRomanPSM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1005" w:rsidRDefault="00AA1873">
      <w:r>
        <w:separator/>
      </w:r>
    </w:p>
  </w:footnote>
  <w:footnote w:type="continuationSeparator" w:id="0">
    <w:p w:rsidR="00541005" w:rsidRDefault="00AA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005" w:rsidRDefault="00AA1873">
    <w:pPr>
      <w:pStyle w:val="af3"/>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rPr>
      <w:t>9</w:t>
    </w:r>
    <w:r>
      <w:rPr>
        <w:rStyle w:val="aff3"/>
      </w:rPr>
      <w:fldChar w:fldCharType="end"/>
    </w:r>
  </w:p>
  <w:p w:rsidR="00541005" w:rsidRDefault="00541005">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005" w:rsidRDefault="00AA1873">
    <w:pPr>
      <w:pStyle w:val="af3"/>
      <w:jc w:val="right"/>
    </w:pPr>
    <w:r>
      <w:fldChar w:fldCharType="begin"/>
    </w:r>
    <w:r>
      <w:instrText>PAGE   \* MERGEFORMAT</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41005" w:rsidRDefault="00541005">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0230E"/>
    <w:multiLevelType w:val="multilevel"/>
    <w:tmpl w:val="0ABE6AB0"/>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3AA172B1"/>
    <w:multiLevelType w:val="multilevel"/>
    <w:tmpl w:val="9C444F8C"/>
    <w:lvl w:ilvl="0">
      <w:start w:val="1"/>
      <w:numFmt w:val="russianLow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AA7F2B"/>
    <w:multiLevelType w:val="multilevel"/>
    <w:tmpl w:val="E312B5B0"/>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645B4570"/>
    <w:multiLevelType w:val="multilevel"/>
    <w:tmpl w:val="2E0874B6"/>
    <w:lvl w:ilvl="0">
      <w:start w:val="1"/>
      <w:numFmt w:val="decimal"/>
      <w:lvlText w:val="%1."/>
      <w:lvlJc w:val="left"/>
      <w:pPr>
        <w:ind w:left="1200" w:hanging="1200"/>
      </w:pPr>
      <w:rPr>
        <w:rFonts w:cs="Arial"/>
      </w:rPr>
    </w:lvl>
    <w:lvl w:ilvl="1">
      <w:start w:val="1"/>
      <w:numFmt w:val="decimal"/>
      <w:lvlText w:val="%1.%2."/>
      <w:lvlJc w:val="left"/>
      <w:pPr>
        <w:ind w:left="1909" w:hanging="1200"/>
      </w:pPr>
      <w:rPr>
        <w:rFonts w:cs="Arial"/>
      </w:rPr>
    </w:lvl>
    <w:lvl w:ilvl="2">
      <w:start w:val="1"/>
      <w:numFmt w:val="decimal"/>
      <w:lvlText w:val="%1.%2.%3."/>
      <w:lvlJc w:val="left"/>
      <w:pPr>
        <w:ind w:left="2618" w:hanging="1200"/>
      </w:pPr>
      <w:rPr>
        <w:rFonts w:cs="Arial"/>
      </w:rPr>
    </w:lvl>
    <w:lvl w:ilvl="3">
      <w:start w:val="1"/>
      <w:numFmt w:val="decimal"/>
      <w:lvlText w:val="%1.%2.%3.%4."/>
      <w:lvlJc w:val="left"/>
      <w:pPr>
        <w:ind w:left="3327" w:hanging="1200"/>
      </w:pPr>
      <w:rPr>
        <w:rFonts w:cs="Arial"/>
      </w:rPr>
    </w:lvl>
    <w:lvl w:ilvl="4">
      <w:start w:val="1"/>
      <w:numFmt w:val="decimal"/>
      <w:lvlText w:val="%1.%2.%3.%4.%5."/>
      <w:lvlJc w:val="left"/>
      <w:pPr>
        <w:ind w:left="4036" w:hanging="1200"/>
      </w:pPr>
      <w:rPr>
        <w:rFonts w:cs="Arial"/>
      </w:rPr>
    </w:lvl>
    <w:lvl w:ilvl="5">
      <w:start w:val="1"/>
      <w:numFmt w:val="decimal"/>
      <w:lvlText w:val="%1.%2.%3.%4.%5.%6."/>
      <w:lvlJc w:val="left"/>
      <w:pPr>
        <w:ind w:left="4985" w:hanging="1440"/>
      </w:pPr>
      <w:rPr>
        <w:rFonts w:cs="Arial"/>
      </w:rPr>
    </w:lvl>
    <w:lvl w:ilvl="6">
      <w:start w:val="1"/>
      <w:numFmt w:val="decimal"/>
      <w:lvlText w:val="%1.%2.%3.%4.%5.%6.%7."/>
      <w:lvlJc w:val="left"/>
      <w:pPr>
        <w:ind w:left="6054" w:hanging="1800"/>
      </w:pPr>
      <w:rPr>
        <w:rFonts w:cs="Arial"/>
      </w:rPr>
    </w:lvl>
    <w:lvl w:ilvl="7">
      <w:start w:val="1"/>
      <w:numFmt w:val="decimal"/>
      <w:lvlText w:val="%1.%2.%3.%4.%5.%6.%7.%8."/>
      <w:lvlJc w:val="left"/>
      <w:pPr>
        <w:ind w:left="6763" w:hanging="1800"/>
      </w:pPr>
      <w:rPr>
        <w:rFonts w:cs="Arial"/>
      </w:rPr>
    </w:lvl>
    <w:lvl w:ilvl="8">
      <w:start w:val="1"/>
      <w:numFmt w:val="decimal"/>
      <w:lvlText w:val="%1.%2.%3.%4.%5.%6.%7.%8.%9."/>
      <w:lvlJc w:val="left"/>
      <w:pPr>
        <w:ind w:left="7832" w:hanging="2160"/>
      </w:pPr>
      <w:rPr>
        <w:rFonts w:cs="Arial"/>
      </w:rPr>
    </w:lvl>
  </w:abstractNum>
  <w:abstractNum w:abstractNumId="4" w15:restartNumberingAfterBreak="0">
    <w:nsid w:val="7B011AD4"/>
    <w:multiLevelType w:val="multilevel"/>
    <w:tmpl w:val="ECC02122"/>
    <w:lvl w:ilvl="0">
      <w:start w:val="1"/>
      <w:numFmt w:val="thaiNumber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907563"/>
    <w:multiLevelType w:val="multilevel"/>
    <w:tmpl w:val="2AFEBEA8"/>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563758592">
    <w:abstractNumId w:val="0"/>
  </w:num>
  <w:num w:numId="2" w16cid:durableId="1101145068">
    <w:abstractNumId w:val="3"/>
  </w:num>
  <w:num w:numId="3" w16cid:durableId="879126967">
    <w:abstractNumId w:val="2"/>
  </w:num>
  <w:num w:numId="4" w16cid:durableId="1562405127">
    <w:abstractNumId w:val="5"/>
  </w:num>
  <w:num w:numId="5" w16cid:durableId="468674765">
    <w:abstractNumId w:val="1"/>
  </w:num>
  <w:num w:numId="6" w16cid:durableId="2085952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05"/>
    <w:rsid w:val="00541005"/>
    <w:rsid w:val="00A125EF"/>
    <w:rsid w:val="00AA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96E7F-5F60-4954-80C4-6B9C5841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lang w:eastAsia="ru-RU"/>
    </w:rPr>
  </w:style>
  <w:style w:type="paragraph" w:styleId="1">
    <w:name w:val="heading 1"/>
    <w:basedOn w:val="a"/>
    <w:next w:val="a"/>
    <w:link w:val="10"/>
    <w:qFormat/>
    <w:pPr>
      <w:keepNext/>
      <w:outlineLvl w:val="0"/>
    </w:pPr>
    <w:rPr>
      <w:rFonts w:ascii="Times New Roman" w:hAnsi="Times New Roman"/>
      <w:b/>
      <w:sz w:val="28"/>
    </w:rPr>
  </w:style>
  <w:style w:type="paragraph" w:styleId="2">
    <w:name w:val="heading 2"/>
    <w:basedOn w:val="a"/>
    <w:next w:val="a"/>
    <w:link w:val="20"/>
    <w:qFormat/>
    <w:pPr>
      <w:keepNext/>
      <w:jc w:val="both"/>
      <w:outlineLvl w:val="1"/>
    </w:pPr>
    <w:rPr>
      <w:rFonts w:ascii="Times New Roman" w:hAnsi="Times New Roman"/>
      <w:b/>
      <w:sz w:val="28"/>
    </w:rPr>
  </w:style>
  <w:style w:type="paragraph" w:styleId="3">
    <w:name w:val="heading 3"/>
    <w:basedOn w:val="a"/>
    <w:next w:val="a"/>
    <w:link w:val="30"/>
    <w:uiPriority w:val="9"/>
    <w:semiHidden/>
    <w:unhideWhenUsed/>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80" w:after="40"/>
      <w:outlineLvl w:val="3"/>
    </w:pPr>
    <w:rPr>
      <w:rFonts w:eastAsia="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eastAsia="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eastAsia="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eastAsia="Arial" w:cs="Arial"/>
      <w:color w:val="595959" w:themeColor="text1" w:themeTint="A6"/>
    </w:rPr>
  </w:style>
  <w:style w:type="paragraph" w:styleId="8">
    <w:name w:val="heading 8"/>
    <w:basedOn w:val="a"/>
    <w:next w:val="a"/>
    <w:link w:val="80"/>
    <w:uiPriority w:val="9"/>
    <w:unhideWhenUsed/>
    <w:qFormat/>
    <w:pPr>
      <w:keepNext/>
      <w:keepLines/>
      <w:outlineLvl w:val="7"/>
    </w:pPr>
    <w:rPr>
      <w:rFonts w:eastAsia="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eastAsia="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eastAsia="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uiPriority w:val="1"/>
    <w:qFormat/>
    <w:rPr>
      <w:rFonts w:ascii="Calibri" w:eastAsia="Calibri" w:hAnsi="Calibri"/>
      <w:sz w:val="22"/>
      <w:szCs w:val="22"/>
      <w:lang w:eastAsia="en-US"/>
    </w:rPr>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af4"/>
    <w:uiPriority w:val="99"/>
    <w:pPr>
      <w:tabs>
        <w:tab w:val="center" w:pos="4677"/>
        <w:tab w:val="right" w:pos="9355"/>
      </w:tabs>
    </w:pPr>
  </w:style>
  <w:style w:type="character" w:customStyle="1" w:styleId="HeaderChar">
    <w:name w:val="Header Char"/>
    <w:basedOn w:val="a0"/>
    <w:uiPriority w:val="99"/>
  </w:style>
  <w:style w:type="paragraph" w:styleId="af5">
    <w:name w:val="footer"/>
    <w:basedOn w:val="a"/>
    <w:link w:val="af6"/>
    <w:uiPriority w:val="99"/>
    <w:unhideWhenUsed/>
    <w:pPr>
      <w:tabs>
        <w:tab w:val="center" w:pos="4677"/>
        <w:tab w:val="right" w:pos="9355"/>
      </w:tabs>
    </w:pPr>
    <w:rPr>
      <w:lang w:val="en-US" w:eastAsia="en-US"/>
    </w:rPr>
  </w:style>
  <w:style w:type="character" w:customStyle="1" w:styleId="FooterChar">
    <w:name w:val="Footer Char"/>
    <w:basedOn w:val="a0"/>
    <w:uiPriority w:val="99"/>
  </w:style>
  <w:style w:type="paragraph" w:styleId="af7">
    <w:name w:val="caption"/>
    <w:basedOn w:val="a"/>
    <w:next w:val="a"/>
    <w:uiPriority w:val="35"/>
    <w:unhideWhenUsed/>
    <w:qFormat/>
    <w:pPr>
      <w:spacing w:after="200"/>
    </w:pPr>
    <w:rPr>
      <w:i/>
      <w:iCs/>
      <w:color w:val="1F497D" w:themeColor="text2"/>
      <w:sz w:val="18"/>
      <w:szCs w:val="18"/>
    </w:rPr>
  </w:style>
  <w:style w:type="paragraph" w:styleId="af8">
    <w:name w:val="footnote text"/>
    <w:basedOn w:val="a"/>
    <w:link w:val="af9"/>
    <w:uiPriority w:val="99"/>
    <w:semiHidden/>
    <w:unhideWhenUsed/>
  </w:style>
  <w:style w:type="character" w:customStyle="1" w:styleId="af9">
    <w:name w:val="Текст сноски Знак"/>
    <w:basedOn w:val="a0"/>
    <w:link w:val="af8"/>
    <w:uiPriority w:val="99"/>
    <w:semiHidden/>
    <w:rPr>
      <w:sz w:val="20"/>
      <w:szCs w:val="20"/>
    </w:rPr>
  </w:style>
  <w:style w:type="character" w:styleId="afa">
    <w:name w:val="footnote reference"/>
    <w:basedOn w:val="a0"/>
    <w:uiPriority w:val="99"/>
    <w:semiHidden/>
    <w:unhideWhenUsed/>
    <w:rPr>
      <w:vertAlign w:val="superscript"/>
    </w:rPr>
  </w:style>
  <w:style w:type="paragraph" w:styleId="afb">
    <w:name w:val="endnote text"/>
    <w:basedOn w:val="a"/>
    <w:link w:val="afc"/>
    <w:uiPriority w:val="99"/>
    <w:semiHidden/>
    <w:unhideWhenUsed/>
  </w:style>
  <w:style w:type="character" w:customStyle="1" w:styleId="afc">
    <w:name w:val="Текст концевой сноски Знак"/>
    <w:basedOn w:val="a0"/>
    <w:link w:val="afb"/>
    <w:uiPriority w:val="99"/>
    <w:semiHidden/>
    <w:rPr>
      <w:sz w:val="20"/>
      <w:szCs w:val="20"/>
    </w:rPr>
  </w:style>
  <w:style w:type="character" w:styleId="afd">
    <w:name w:val="endnote reference"/>
    <w:basedOn w:val="a0"/>
    <w:uiPriority w:val="99"/>
    <w:semiHidden/>
    <w:unhideWhenUsed/>
    <w:rPr>
      <w:vertAlign w:val="superscript"/>
    </w:rPr>
  </w:style>
  <w:style w:type="character" w:styleId="afe">
    <w:name w:val="Hyperlink"/>
    <w:uiPriority w:val="99"/>
    <w:semiHidden/>
    <w:unhideWhenUsed/>
    <w:rPr>
      <w:color w:val="0000FF"/>
      <w:u w:val="single"/>
    </w:rPr>
  </w:style>
  <w:style w:type="character" w:styleId="aff">
    <w:name w:val="FollowedHyperlink"/>
    <w:basedOn w:val="a0"/>
    <w:uiPriority w:val="99"/>
    <w:semiHidden/>
    <w:unhideWhenUsed/>
    <w:rPr>
      <w:color w:val="800080" w:themeColor="followedHyperlink"/>
      <w:u w:val="single"/>
    </w:rPr>
  </w:style>
  <w:style w:type="paragraph" w:styleId="aff0">
    <w:name w:val="TOC Heading"/>
    <w:uiPriority w:val="39"/>
    <w:unhideWhenUsed/>
  </w:style>
  <w:style w:type="paragraph" w:styleId="aff1">
    <w:name w:val="table of figures"/>
    <w:basedOn w:val="a"/>
    <w:next w:val="a"/>
    <w:uiPriority w:val="99"/>
    <w:unhideWhenUsed/>
  </w:style>
  <w:style w:type="paragraph" w:styleId="aff2">
    <w:name w:val="Body Text"/>
    <w:basedOn w:val="a"/>
    <w:pPr>
      <w:jc w:val="both"/>
    </w:pPr>
    <w:rPr>
      <w:rFonts w:ascii="Times New Roman" w:hAnsi="Times New Roman"/>
      <w:color w:val="000000"/>
      <w:sz w:val="28"/>
    </w:rPr>
  </w:style>
  <w:style w:type="paragraph" w:styleId="24">
    <w:name w:val="Body Text 2"/>
    <w:basedOn w:val="a"/>
    <w:pPr>
      <w:jc w:val="both"/>
    </w:pPr>
    <w:rPr>
      <w:rFonts w:ascii="Times New Roman" w:hAnsi="Times New Roman"/>
      <w:bCs/>
      <w:sz w:val="24"/>
    </w:rPr>
  </w:style>
  <w:style w:type="character" w:styleId="aff3">
    <w:name w:val="page number"/>
    <w:basedOn w:val="a0"/>
  </w:style>
  <w:style w:type="paragraph" w:styleId="aff4">
    <w:name w:val="Balloon Text"/>
    <w:basedOn w:val="a"/>
    <w:link w:val="aff5"/>
    <w:uiPriority w:val="99"/>
    <w:semiHidden/>
    <w:unhideWhenUsed/>
    <w:rPr>
      <w:rFonts w:ascii="Tahoma" w:hAnsi="Tahoma"/>
      <w:sz w:val="16"/>
      <w:szCs w:val="16"/>
      <w:lang w:val="en-US" w:eastAsia="en-US"/>
    </w:rPr>
  </w:style>
  <w:style w:type="character" w:customStyle="1" w:styleId="aff5">
    <w:name w:val="Текст выноски Знак"/>
    <w:link w:val="aff4"/>
    <w:uiPriority w:val="99"/>
    <w:semiHidden/>
    <w:rPr>
      <w:rFonts w:ascii="Tahoma" w:hAnsi="Tahoma" w:cs="Tahoma"/>
      <w:sz w:val="16"/>
      <w:szCs w:val="16"/>
    </w:rPr>
  </w:style>
  <w:style w:type="character" w:customStyle="1" w:styleId="af6">
    <w:name w:val="Нижний колонтитул Знак"/>
    <w:link w:val="af5"/>
    <w:uiPriority w:val="99"/>
    <w:rPr>
      <w:rFonts w:ascii="Arial" w:hAnsi="Arial"/>
    </w:rPr>
  </w:style>
  <w:style w:type="paragraph" w:customStyle="1" w:styleId="ConsPlusNormal">
    <w:name w:val="ConsPlusNormal"/>
    <w:pPr>
      <w:ind w:firstLine="720"/>
    </w:pPr>
    <w:rPr>
      <w:rFonts w:ascii="Arial" w:hAnsi="Arial" w:cs="Arial"/>
      <w:lang w:eastAsia="ru-RU"/>
    </w:rPr>
  </w:style>
  <w:style w:type="paragraph" w:customStyle="1" w:styleId="ConsPlusNonformat">
    <w:name w:val="ConsPlusNonformat"/>
    <w:rPr>
      <w:rFonts w:ascii="Courier New" w:hAnsi="Courier New" w:cs="Courier New"/>
      <w:lang w:eastAsia="ru-RU"/>
    </w:rPr>
  </w:style>
  <w:style w:type="paragraph" w:styleId="aff6">
    <w:name w:val="Body Text Indent"/>
    <w:basedOn w:val="a"/>
    <w:link w:val="aff7"/>
    <w:pPr>
      <w:spacing w:after="120"/>
      <w:ind w:left="283"/>
    </w:pPr>
    <w:rPr>
      <w:rFonts w:ascii="Times New Roman" w:hAnsi="Times New Roman"/>
    </w:rPr>
  </w:style>
  <w:style w:type="character" w:customStyle="1" w:styleId="aff7">
    <w:name w:val="Основной текст с отступом Знак"/>
    <w:basedOn w:val="a0"/>
    <w:link w:val="aff6"/>
  </w:style>
  <w:style w:type="paragraph" w:customStyle="1" w:styleId="ConsPlusTitle">
    <w:name w:val="ConsPlusTitle"/>
    <w:pPr>
      <w:widowControl w:val="0"/>
    </w:pPr>
    <w:rPr>
      <w:rFonts w:ascii="Arial" w:hAnsi="Arial" w:cs="Arial"/>
      <w:b/>
      <w:lang w:eastAsia="ru-RU"/>
    </w:rPr>
  </w:style>
  <w:style w:type="paragraph" w:customStyle="1" w:styleId="aff8">
    <w:name w:val="Обычный (веб)"/>
    <w:basedOn w:val="a"/>
    <w:uiPriority w:val="99"/>
    <w:unhideWhenUsed/>
    <w:pPr>
      <w:spacing w:before="100" w:beforeAutospacing="1" w:after="100" w:afterAutospacing="1"/>
    </w:pPr>
    <w:rPr>
      <w:rFonts w:ascii="Times New Roman" w:hAnsi="Times New Roman"/>
      <w:sz w:val="24"/>
      <w:szCs w:val="24"/>
    </w:rPr>
  </w:style>
  <w:style w:type="paragraph" w:customStyle="1" w:styleId="default">
    <w:name w:val="default"/>
    <w:basedOn w:val="a"/>
    <w:pPr>
      <w:spacing w:before="100" w:beforeAutospacing="1" w:after="100" w:afterAutospacing="1"/>
    </w:pPr>
    <w:rPr>
      <w:rFonts w:ascii="Times New Roman" w:hAnsi="Times New Roman"/>
      <w:sz w:val="24"/>
      <w:szCs w:val="24"/>
    </w:rPr>
  </w:style>
  <w:style w:type="paragraph" w:customStyle="1" w:styleId="formattext">
    <w:name w:val="formattext"/>
    <w:basedOn w:val="a"/>
    <w:pPr>
      <w:spacing w:before="100" w:beforeAutospacing="1" w:after="100" w:afterAutospacing="1"/>
    </w:pPr>
    <w:rPr>
      <w:rFonts w:ascii="Times New Roman" w:hAnsi="Times New Roman"/>
      <w:sz w:val="24"/>
      <w:szCs w:val="24"/>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Default0">
    <w:name w:val="Default"/>
    <w:rPr>
      <w:rFonts w:eastAsia="Calibri"/>
      <w:color w:val="000000"/>
      <w:sz w:val="24"/>
      <w:szCs w:val="24"/>
      <w:lang w:eastAsia="en-US"/>
    </w:rPr>
  </w:style>
  <w:style w:type="table" w:customStyle="1" w:styleId="12">
    <w:name w:val="Сетка таблицы1"/>
    <w:basedOn w:val="a1"/>
    <w:next w:val="a3"/>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Pr>
      <w:rFonts w:ascii="TimesNewRomanPSMT" w:hAnsi="TimesNewRomanPSMT"/>
      <w:color w:val="000000"/>
      <w:sz w:val="28"/>
      <w:szCs w:val="28"/>
    </w:rPr>
  </w:style>
  <w:style w:type="character" w:customStyle="1" w:styleId="af4">
    <w:name w:val="Верхний колонтитул Знак"/>
    <w:link w:val="af3"/>
    <w:uiPriority w:val="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A38EB840D28FAB2A5F15481F67689FF0C50948F0408208E765F04EBBF950B2F8606EEB9A751D7B4B51E783C32BB6A8CF69BBA37FC487709I8i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9655</Characters>
  <Application>Microsoft Office Word</Application>
  <DocSecurity>4</DocSecurity>
  <Lines>80</Lines>
  <Paragraphs>22</Paragraphs>
  <ScaleCrop>false</ScaleCrop>
  <Company>Машбюро</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Наталья Александровна Рогальс</dc:creator>
  <cp:lastModifiedBy>ПравПортал</cp:lastModifiedBy>
  <cp:revision>2</cp:revision>
  <dcterms:created xsi:type="dcterms:W3CDTF">2024-12-04T03:26:00Z</dcterms:created>
  <dcterms:modified xsi:type="dcterms:W3CDTF">2024-12-04T03:26:00Z</dcterms:modified>
  <cp:version>1048576</cp:version>
</cp:coreProperties>
</file>