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1D7" w:rsidRPr="007561D7" w:rsidRDefault="007561D7" w:rsidP="007561D7">
      <w:pPr>
        <w:widowControl w:val="0"/>
        <w:autoSpaceDE w:val="0"/>
        <w:autoSpaceDN w:val="0"/>
        <w:adjustRightInd w:val="0"/>
        <w:spacing w:after="0" w:line="240" w:lineRule="auto"/>
        <w:ind w:firstLine="5529"/>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 xml:space="preserve">Приложение </w:t>
      </w:r>
    </w:p>
    <w:p w:rsidR="007561D7" w:rsidRPr="007561D7" w:rsidRDefault="007561D7" w:rsidP="007561D7">
      <w:pPr>
        <w:widowControl w:val="0"/>
        <w:autoSpaceDE w:val="0"/>
        <w:autoSpaceDN w:val="0"/>
        <w:adjustRightInd w:val="0"/>
        <w:spacing w:after="0" w:line="240" w:lineRule="auto"/>
        <w:ind w:firstLine="5529"/>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УТВЕРЖДЕН</w:t>
      </w:r>
    </w:p>
    <w:p w:rsidR="007561D7" w:rsidRPr="007561D7" w:rsidRDefault="007561D7" w:rsidP="007561D7">
      <w:pPr>
        <w:widowControl w:val="0"/>
        <w:autoSpaceDE w:val="0"/>
        <w:autoSpaceDN w:val="0"/>
        <w:adjustRightInd w:val="0"/>
        <w:spacing w:after="0" w:line="240" w:lineRule="auto"/>
        <w:ind w:firstLine="5529"/>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приказом комитета</w:t>
      </w:r>
    </w:p>
    <w:p w:rsidR="007561D7" w:rsidRPr="007561D7" w:rsidRDefault="007561D7" w:rsidP="007561D7">
      <w:pPr>
        <w:widowControl w:val="0"/>
        <w:autoSpaceDE w:val="0"/>
        <w:autoSpaceDN w:val="0"/>
        <w:adjustRightInd w:val="0"/>
        <w:spacing w:after="0" w:line="240" w:lineRule="auto"/>
        <w:ind w:left="11" w:firstLine="5529"/>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от 24.04.2025 №70</w:t>
      </w:r>
    </w:p>
    <w:p w:rsidR="007561D7" w:rsidRPr="007561D7" w:rsidRDefault="007561D7" w:rsidP="007561D7">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p w:rsidR="007561D7" w:rsidRPr="007561D7" w:rsidRDefault="007561D7" w:rsidP="007561D7">
      <w:p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ПОРЯДОК</w:t>
      </w:r>
    </w:p>
    <w:p w:rsidR="007561D7" w:rsidRPr="007561D7" w:rsidRDefault="007561D7" w:rsidP="007561D7">
      <w:pPr>
        <w:widowControl w:val="0"/>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7561D7">
        <w:rPr>
          <w:rFonts w:ascii="Times New Roman" w:eastAsia="Calibri" w:hAnsi="Times New Roman" w:cs="Times New Roman"/>
          <w:kern w:val="0"/>
          <w:sz w:val="28"/>
          <w:szCs w:val="28"/>
          <w:lang w:eastAsia="ru-RU"/>
          <w14:ligatures w14:val="none"/>
        </w:rPr>
        <w:t>распределения средств, выделяемых из краевого бюджета на возмещение расходов по оказанию транспортных услуг отдельным категориям граждан</w:t>
      </w: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7561D7" w:rsidRPr="007561D7" w:rsidRDefault="007561D7" w:rsidP="007561D7">
      <w:pPr>
        <w:autoSpaceDE w:val="0"/>
        <w:autoSpaceDN w:val="0"/>
        <w:adjustRightInd w:val="0"/>
        <w:spacing w:after="0" w:line="240" w:lineRule="auto"/>
        <w:ind w:firstLine="540"/>
        <w:jc w:val="center"/>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1. Общие положения</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1.1. Порядок распределения средств, выделяемых из краевого бюджета на возмещение расходов по оказанию транспортных услуг отдельным категориям граждан (далее – Порядок), определяет цели, условия и порядок распределения средств, выделяемых из краевого бюджета на возмещение расходов по оказанию транспортных услуг отдельным категориям граждан между юридическими лицами, индивидуальными предпринимателями, осуществляющими регулярные перевозки отдельных категорий граждан по проездным билетам, электронным проездным билетам по маршрутам регулярных перевозок города Барнаула с посадкой и высадкой пассажиров только в установленных остановочных пунктах по регулируемым тарифам (далее – перевозчики).</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1.2. Перечисление средств, выделяемых из краевого бюджета на возмещение расходов по оказанию транспортных услуг отдельным категориям граждан, между перевозчиками осуществляется муниципальным бюджетным учреждением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xml:space="preserve">» </w:t>
      </w:r>
      <w:proofErr w:type="spellStart"/>
      <w:r w:rsidRPr="007561D7">
        <w:rPr>
          <w:rFonts w:ascii="Times New Roman" w:eastAsia="Times New Roman" w:hAnsi="Times New Roman" w:cs="Times New Roman"/>
          <w:kern w:val="0"/>
          <w:sz w:val="28"/>
          <w:szCs w:val="28"/>
          <w:lang w:eastAsia="ru-RU"/>
          <w14:ligatures w14:val="none"/>
        </w:rPr>
        <w:t>г.Барнаула</w:t>
      </w:r>
      <w:proofErr w:type="spellEnd"/>
      <w:r w:rsidRPr="007561D7">
        <w:rPr>
          <w:rFonts w:ascii="Times New Roman" w:eastAsia="Times New Roman" w:hAnsi="Times New Roman" w:cs="Times New Roman"/>
          <w:kern w:val="0"/>
          <w:sz w:val="28"/>
          <w:szCs w:val="28"/>
          <w:lang w:eastAsia="ru-RU"/>
          <w14:ligatures w14:val="none"/>
        </w:rPr>
        <w:t xml:space="preserve"> (далее –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на основании расчетов сумм компенсации перевозчикам за перевозку отдельных категорий граждан по проездным билетам и сумм компенсации перевозчикам за перевозку отдельных категорий граждан по электронным проездным билетам, проведенных комитетом по дорожному хозяйству и транспорту города (далее – комитет).</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1.3.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в течение 20 дней с момента поступления на расчетный счет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средств из краевого бюджета на возмещение расходов по оказанию транспортных услуг отдельным категориям граждан перечисляет указанные средства на расчетные счета перевозчиков, открытые в кредитных организациях.</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
    <w:p w:rsidR="007561D7" w:rsidRPr="007561D7" w:rsidRDefault="007561D7" w:rsidP="007561D7">
      <w:pPr>
        <w:autoSpaceDE w:val="0"/>
        <w:autoSpaceDN w:val="0"/>
        <w:adjustRightInd w:val="0"/>
        <w:spacing w:after="0" w:line="240" w:lineRule="auto"/>
        <w:ind w:firstLine="540"/>
        <w:jc w:val="center"/>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2. Расчет сумм компенсации перевозчикам за перевозку</w:t>
      </w:r>
    </w:p>
    <w:p w:rsidR="007561D7" w:rsidRPr="007561D7" w:rsidRDefault="007561D7" w:rsidP="007561D7">
      <w:pPr>
        <w:autoSpaceDE w:val="0"/>
        <w:autoSpaceDN w:val="0"/>
        <w:adjustRightInd w:val="0"/>
        <w:spacing w:after="0" w:line="240" w:lineRule="auto"/>
        <w:ind w:firstLine="540"/>
        <w:jc w:val="center"/>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отдельных категорий граждан по электронным проездным билетам</w:t>
      </w:r>
    </w:p>
    <w:p w:rsidR="007561D7" w:rsidRPr="007561D7" w:rsidRDefault="007561D7" w:rsidP="007561D7">
      <w:pPr>
        <w:autoSpaceDE w:val="0"/>
        <w:autoSpaceDN w:val="0"/>
        <w:adjustRightInd w:val="0"/>
        <w:spacing w:after="0" w:line="240" w:lineRule="auto"/>
        <w:ind w:firstLine="540"/>
        <w:jc w:val="center"/>
        <w:rPr>
          <w:rFonts w:ascii="Times New Roman" w:eastAsia="Times New Roman" w:hAnsi="Times New Roman" w:cs="Times New Roman"/>
          <w:kern w:val="0"/>
          <w:sz w:val="28"/>
          <w:szCs w:val="28"/>
          <w:lang w:eastAsia="ru-RU"/>
          <w14:ligatures w14:val="none"/>
        </w:rPr>
      </w:pP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 xml:space="preserve">2.1. Расчет суммы денежных средств, подлежащей перечислению перевозчику по каждому маршруту за перевозку пассажиров, использующих персональную транспортную карту вида «Льготная» и персональную транспортную карту вида «Социальная карта» по маршруту, работающему с посадкой и высадкой пассажиров только в установленных остановочных пунктах, осуществляется пропорционально количеству перевезенных </w:t>
      </w:r>
      <w:r w:rsidRPr="007561D7">
        <w:rPr>
          <w:rFonts w:ascii="Times New Roman" w:eastAsia="Times New Roman" w:hAnsi="Times New Roman" w:cs="Times New Roman"/>
          <w:kern w:val="0"/>
          <w:sz w:val="28"/>
          <w:szCs w:val="28"/>
          <w:lang w:eastAsia="ru-RU"/>
          <w14:ligatures w14:val="none"/>
        </w:rPr>
        <w:lastRenderedPageBreak/>
        <w:t xml:space="preserve">пассажиров, использующих персональную транспортную карту вида «Льготная» и персональную транспортную карту вида «Социальная карта» </w:t>
      </w:r>
      <w:r w:rsidRPr="007561D7">
        <w:rPr>
          <w:rFonts w:ascii="Times New Roman" w:eastAsia="Times New Roman" w:hAnsi="Times New Roman" w:cs="Times New Roman"/>
          <w:kern w:val="0"/>
          <w:sz w:val="28"/>
          <w:szCs w:val="28"/>
          <w:lang w:eastAsia="ru-RU"/>
          <w14:ligatures w14:val="none"/>
        </w:rPr>
        <w:br/>
        <w:t>в отчетном периоде на маршрутах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2.2. Учет количества перевезенных пассажиров, использующих персональную транспортную карту вида «Льготная» и персональную транспортную карту вида «Социальная карта» на маршрутах регулярных перевозок, проводится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на основе договора присоединения к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заключенного с перевозчиком.</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2.3.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направляет в Комитет отчет о количестве перевезенных пассажиров, использующих персональную транспортную карту вида «Льготная» и персональную транспортную карту вида «Социальная карта» в отчетный период, с разбивкой по маршрутам регулярных перевозок города (далее – отчет о количестве пассажиров), информацию о размере средств, подлежащих распределению между перевозчиками, в течение пяти рабочих дней месяца, следующего за отчетным месяцем.</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2.4. Комитет на основании отчета о количестве пассажиров в течение трех рабочих дней с момента его получения проводит и направляет в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расчет суммы, подлежащей перечислению перевозчику по каждому маршруту за перевозку пассажиров, использующих персональную транспортную карту вида «Льготная», по формуле:</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noProof/>
          <w:kern w:val="0"/>
          <w:position w:val="-29"/>
          <w:sz w:val="28"/>
          <w:szCs w:val="28"/>
          <w:lang w:eastAsia="ru-RU"/>
          <w14:ligatures w14:val="none"/>
        </w:rPr>
        <w:drawing>
          <wp:inline distT="0" distB="0" distL="0" distR="0">
            <wp:extent cx="1638300" cy="542925"/>
            <wp:effectExtent l="0" t="0" r="0" b="9525"/>
            <wp:docPr id="8878518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r w:rsidRPr="007561D7">
        <w:rPr>
          <w:rFonts w:ascii="Times New Roman" w:eastAsia="Times New Roman" w:hAnsi="Times New Roman" w:cs="Times New Roman"/>
          <w:kern w:val="0"/>
          <w:sz w:val="28"/>
          <w:szCs w:val="28"/>
          <w:lang w:eastAsia="ru-RU"/>
          <w14:ligatures w14:val="none"/>
        </w:rPr>
        <w:t>, где:</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P</w:t>
      </w:r>
      <w:r w:rsidRPr="007561D7">
        <w:rPr>
          <w:rFonts w:ascii="Times New Roman" w:eastAsia="Times New Roman" w:hAnsi="Times New Roman" w:cs="Times New Roman"/>
          <w:kern w:val="0"/>
          <w:sz w:val="28"/>
          <w:szCs w:val="28"/>
          <w:vertAlign w:val="subscript"/>
          <w:lang w:eastAsia="ru-RU"/>
          <w14:ligatures w14:val="none"/>
        </w:rPr>
        <w:t>мп</w:t>
      </w:r>
      <w:proofErr w:type="spellEnd"/>
      <w:r w:rsidRPr="007561D7">
        <w:rPr>
          <w:rFonts w:ascii="Times New Roman" w:eastAsia="Times New Roman" w:hAnsi="Times New Roman" w:cs="Times New Roman"/>
          <w:kern w:val="0"/>
          <w:sz w:val="28"/>
          <w:szCs w:val="28"/>
          <w:lang w:eastAsia="ru-RU"/>
          <w14:ligatures w14:val="none"/>
        </w:rPr>
        <w:t xml:space="preserve"> - сумма денежных средств, подлежащая перечислению перевозчику по маршруту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S</w:t>
      </w:r>
      <w:r w:rsidRPr="007561D7">
        <w:rPr>
          <w:rFonts w:ascii="Times New Roman" w:eastAsia="Times New Roman" w:hAnsi="Times New Roman" w:cs="Times New Roman"/>
          <w:kern w:val="0"/>
          <w:sz w:val="28"/>
          <w:szCs w:val="28"/>
          <w:vertAlign w:val="subscript"/>
          <w:lang w:eastAsia="ru-RU"/>
          <w14:ligatures w14:val="none"/>
        </w:rPr>
        <w:t>1</w:t>
      </w:r>
      <w:r w:rsidRPr="007561D7">
        <w:rPr>
          <w:rFonts w:ascii="Times New Roman" w:eastAsia="Times New Roman" w:hAnsi="Times New Roman" w:cs="Times New Roman"/>
          <w:kern w:val="0"/>
          <w:sz w:val="28"/>
          <w:szCs w:val="28"/>
          <w:lang w:eastAsia="ru-RU"/>
          <w14:ligatures w14:val="none"/>
        </w:rPr>
        <w:t xml:space="preserve"> - сумма денежных средств, выделяемых на возмещение расходов </w:t>
      </w:r>
      <w:r w:rsidRPr="007561D7">
        <w:rPr>
          <w:rFonts w:ascii="Times New Roman" w:eastAsia="Times New Roman" w:hAnsi="Times New Roman" w:cs="Times New Roman"/>
          <w:kern w:val="0"/>
          <w:sz w:val="28"/>
          <w:szCs w:val="28"/>
          <w:lang w:eastAsia="ru-RU"/>
          <w14:ligatures w14:val="none"/>
        </w:rPr>
        <w:br/>
        <w:t>за перевозку пассажиров, использующих персональную транспортную карту вида «Льготная» на основании отчета о количестве активированных персональных транспортных карт видов «Льготная»;</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S</w:t>
      </w:r>
      <w:r w:rsidRPr="007561D7">
        <w:rPr>
          <w:rFonts w:ascii="Times New Roman" w:eastAsia="Times New Roman" w:hAnsi="Times New Roman" w:cs="Times New Roman"/>
          <w:kern w:val="0"/>
          <w:sz w:val="28"/>
          <w:szCs w:val="28"/>
          <w:vertAlign w:val="subscript"/>
          <w:lang w:eastAsia="ru-RU"/>
          <w14:ligatures w14:val="none"/>
        </w:rPr>
        <w:t>2</w:t>
      </w:r>
      <w:r w:rsidRPr="007561D7">
        <w:rPr>
          <w:rFonts w:ascii="Times New Roman" w:eastAsia="Times New Roman" w:hAnsi="Times New Roman" w:cs="Times New Roman"/>
          <w:kern w:val="0"/>
          <w:sz w:val="28"/>
          <w:szCs w:val="28"/>
          <w:lang w:eastAsia="ru-RU"/>
          <w14:ligatures w14:val="none"/>
        </w:rPr>
        <w:t xml:space="preserve"> - сумма денежных средств, полученных от активации электронных персональных транспортных карт видов «Льготная»;</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K</w:t>
      </w:r>
      <w:r w:rsidRPr="007561D7">
        <w:rPr>
          <w:rFonts w:ascii="Times New Roman" w:eastAsia="Times New Roman" w:hAnsi="Times New Roman" w:cs="Times New Roman"/>
          <w:kern w:val="0"/>
          <w:sz w:val="28"/>
          <w:szCs w:val="28"/>
          <w:vertAlign w:val="subscript"/>
          <w:lang w:eastAsia="ru-RU"/>
          <w14:ligatures w14:val="none"/>
        </w:rPr>
        <w:t>п</w:t>
      </w:r>
      <w:proofErr w:type="spellEnd"/>
      <w:r w:rsidRPr="007561D7">
        <w:rPr>
          <w:rFonts w:ascii="Times New Roman" w:eastAsia="Times New Roman" w:hAnsi="Times New Roman" w:cs="Times New Roman"/>
          <w:kern w:val="0"/>
          <w:sz w:val="28"/>
          <w:szCs w:val="28"/>
          <w:lang w:eastAsia="ru-RU"/>
          <w14:ligatures w14:val="none"/>
        </w:rPr>
        <w:t xml:space="preserve"> - количество перевезенных пассажиров, использующих персональную транспортную карту вида «Льготная» по маршрутам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k</w:t>
      </w:r>
      <w:r w:rsidRPr="007561D7">
        <w:rPr>
          <w:rFonts w:ascii="Times New Roman" w:eastAsia="Times New Roman" w:hAnsi="Times New Roman" w:cs="Times New Roman"/>
          <w:kern w:val="0"/>
          <w:sz w:val="28"/>
          <w:szCs w:val="28"/>
          <w:vertAlign w:val="subscript"/>
          <w:lang w:eastAsia="ru-RU"/>
          <w14:ligatures w14:val="none"/>
        </w:rPr>
        <w:t>м</w:t>
      </w:r>
      <w:proofErr w:type="spellEnd"/>
      <w:r w:rsidRPr="007561D7">
        <w:rPr>
          <w:rFonts w:ascii="Times New Roman" w:eastAsia="Times New Roman" w:hAnsi="Times New Roman" w:cs="Times New Roman"/>
          <w:kern w:val="0"/>
          <w:sz w:val="28"/>
          <w:szCs w:val="28"/>
          <w:lang w:eastAsia="ru-RU"/>
          <w14:ligatures w14:val="none"/>
        </w:rPr>
        <w:t xml:space="preserve"> - количество перевезенных пассажиров, использующих персональную транспортную карту вида «Льготная» на маршруте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7561D7">
        <w:rPr>
          <w:rFonts w:ascii="Times New Roman" w:eastAsia="Times New Roman" w:hAnsi="Times New Roman" w:cs="Times New Roman"/>
          <w:kern w:val="0"/>
          <w:sz w:val="28"/>
          <w:szCs w:val="28"/>
          <w:lang w:eastAsia="ru-RU"/>
          <w14:ligatures w14:val="none"/>
        </w:rPr>
        <w:t xml:space="preserve">2.5. Комитет на основании отчета о количестве пассажиров в течение трех рабочих дней с момента его получения проводит и направляет </w:t>
      </w:r>
      <w:r w:rsidRPr="007561D7">
        <w:rPr>
          <w:rFonts w:ascii="Times New Roman" w:eastAsia="Times New Roman" w:hAnsi="Times New Roman" w:cs="Times New Roman"/>
          <w:kern w:val="0"/>
          <w:sz w:val="28"/>
          <w:szCs w:val="28"/>
          <w:lang w:eastAsia="ru-RU"/>
          <w14:ligatures w14:val="none"/>
        </w:rPr>
        <w:br/>
        <w:t>в МБУ «</w:t>
      </w:r>
      <w:proofErr w:type="spellStart"/>
      <w:r w:rsidRPr="007561D7">
        <w:rPr>
          <w:rFonts w:ascii="Times New Roman" w:eastAsia="Times New Roman" w:hAnsi="Times New Roman" w:cs="Times New Roman"/>
          <w:kern w:val="0"/>
          <w:sz w:val="28"/>
          <w:szCs w:val="28"/>
          <w:lang w:eastAsia="ru-RU"/>
          <w14:ligatures w14:val="none"/>
        </w:rPr>
        <w:t>Центртранс</w:t>
      </w:r>
      <w:proofErr w:type="spellEnd"/>
      <w:r w:rsidRPr="007561D7">
        <w:rPr>
          <w:rFonts w:ascii="Times New Roman" w:eastAsia="Times New Roman" w:hAnsi="Times New Roman" w:cs="Times New Roman"/>
          <w:kern w:val="0"/>
          <w:sz w:val="28"/>
          <w:szCs w:val="28"/>
          <w:lang w:eastAsia="ru-RU"/>
          <w14:ligatures w14:val="none"/>
        </w:rPr>
        <w:t>» расчет суммы, подлежащей перечислению перевозчику по каждому маршруту за перевозку пассажиров, использующих персональную транспортную карту вида «Социальная карта», по формуле:</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position w:val="-29"/>
          <w:sz w:val="28"/>
          <w:szCs w:val="28"/>
          <w:lang w:eastAsia="ru-RU"/>
          <w14:ligatures w14:val="none"/>
        </w:rPr>
      </w:pPr>
    </w:p>
    <w:p w:rsidR="007561D7" w:rsidRPr="007561D7" w:rsidRDefault="007561D7" w:rsidP="007561D7">
      <w:pPr>
        <w:widowControl w:val="0"/>
        <w:autoSpaceDE w:val="0"/>
        <w:autoSpaceDN w:val="0"/>
        <w:adjustRightInd w:val="0"/>
        <w:spacing w:after="0" w:line="240" w:lineRule="auto"/>
        <w:ind w:firstLine="567"/>
        <w:rPr>
          <w:rFonts w:ascii="Times New Roman" w:eastAsia="Times New Roman" w:hAnsi="Times New Roman" w:cs="Times New Roman"/>
          <w:kern w:val="0"/>
          <w:sz w:val="44"/>
          <w:szCs w:val="44"/>
          <w:lang w:eastAsia="ru-RU"/>
          <w14:ligatures w14:val="none"/>
        </w:rPr>
      </w:pPr>
      <w:proofErr w:type="spellStart"/>
      <w:r w:rsidRPr="007561D7">
        <w:rPr>
          <w:rFonts w:ascii="Times New Roman" w:eastAsia="Times New Roman" w:hAnsi="Times New Roman" w:cs="Times New Roman"/>
          <w:kern w:val="0"/>
          <w:sz w:val="44"/>
          <w:szCs w:val="44"/>
          <w:lang w:eastAsia="ru-RU"/>
          <w14:ligatures w14:val="none"/>
        </w:rPr>
        <w:lastRenderedPageBreak/>
        <w:t>Р</w:t>
      </w:r>
      <w:r w:rsidRPr="007561D7">
        <w:rPr>
          <w:rFonts w:ascii="Times New Roman" w:eastAsia="Times New Roman" w:hAnsi="Times New Roman" w:cs="Times New Roman"/>
          <w:kern w:val="0"/>
          <w:sz w:val="44"/>
          <w:szCs w:val="44"/>
          <w:vertAlign w:val="subscript"/>
          <w:lang w:eastAsia="ru-RU"/>
          <w14:ligatures w14:val="none"/>
        </w:rPr>
        <w:t>г</w:t>
      </w:r>
      <w:proofErr w:type="spellEnd"/>
      <w:r w:rsidRPr="007561D7">
        <w:rPr>
          <w:rFonts w:ascii="Times New Roman" w:eastAsia="Times New Roman" w:hAnsi="Times New Roman" w:cs="Times New Roman"/>
          <w:kern w:val="0"/>
          <w:sz w:val="44"/>
          <w:szCs w:val="44"/>
          <w:lang w:eastAsia="ru-RU"/>
          <w14:ligatures w14:val="none"/>
        </w:rPr>
        <w:t xml:space="preserve"> = </w:t>
      </w:r>
      <m:oMath>
        <m:f>
          <m:fPr>
            <m:ctrlPr>
              <w:rPr>
                <w:rFonts w:ascii="Cambria Math" w:eastAsia="Calibri" w:hAnsi="Cambria Math"/>
                <w:sz w:val="44"/>
                <w:szCs w:val="44"/>
              </w:rPr>
            </m:ctrlPr>
          </m:fPr>
          <m:num>
            <m:r>
              <m:rPr>
                <m:nor/>
              </m:rPr>
              <w:rPr>
                <w:sz w:val="44"/>
                <w:szCs w:val="44"/>
                <w:lang w:val="en-US"/>
              </w:rPr>
              <m:t>S</m:t>
            </m:r>
            <m:r>
              <m:rPr>
                <m:nor/>
              </m:rPr>
              <w:rPr>
                <w:sz w:val="44"/>
                <w:szCs w:val="44"/>
              </w:rPr>
              <m:t>г</m:t>
            </m:r>
          </m:num>
          <m:den>
            <w:proofErr w:type="spellStart"/>
            <m:r>
              <m:rPr>
                <m:nor/>
              </m:rPr>
              <w:rPr>
                <w:sz w:val="44"/>
                <w:szCs w:val="44"/>
              </w:rPr>
              <m:t>Кпг</m:t>
            </m:r>
            <w:proofErr w:type="spellEnd"/>
          </m:den>
        </m:f>
      </m:oMath>
      <w:r w:rsidRPr="007561D7">
        <w:rPr>
          <w:rFonts w:ascii="Times New Roman" w:eastAsia="Times New Roman" w:hAnsi="Times New Roman" w:cs="Times New Roman"/>
          <w:kern w:val="0"/>
          <w:sz w:val="44"/>
          <w:szCs w:val="44"/>
          <w:lang w:eastAsia="ru-RU"/>
          <w14:ligatures w14:val="none"/>
        </w:rPr>
        <w:t xml:space="preserve"> * </w:t>
      </w:r>
      <w:r w:rsidRPr="007561D7">
        <w:rPr>
          <w:rFonts w:ascii="Times New Roman" w:eastAsia="Times New Roman" w:hAnsi="Times New Roman" w:cs="Times New Roman"/>
          <w:kern w:val="0"/>
          <w:sz w:val="44"/>
          <w:szCs w:val="44"/>
          <w:lang w:val="en-US" w:eastAsia="ru-RU"/>
          <w14:ligatures w14:val="none"/>
        </w:rPr>
        <w:t>k</w:t>
      </w:r>
      <w:r w:rsidRPr="007561D7">
        <w:rPr>
          <w:rFonts w:ascii="Times New Roman" w:eastAsia="Times New Roman" w:hAnsi="Times New Roman" w:cs="Times New Roman"/>
          <w:kern w:val="0"/>
          <w:sz w:val="44"/>
          <w:szCs w:val="44"/>
          <w:vertAlign w:val="subscript"/>
          <w:lang w:eastAsia="ru-RU"/>
          <w14:ligatures w14:val="none"/>
        </w:rPr>
        <w:t>мг</w:t>
      </w:r>
      <w:r w:rsidRPr="007561D7">
        <w:rPr>
          <w:rFonts w:ascii="Times New Roman" w:eastAsia="Times New Roman" w:hAnsi="Times New Roman" w:cs="Times New Roman"/>
          <w:kern w:val="0"/>
          <w:sz w:val="28"/>
          <w:szCs w:val="28"/>
          <w:lang w:eastAsia="ru-RU"/>
          <w14:ligatures w14:val="none"/>
        </w:rPr>
        <w:t>, где:</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P</w:t>
      </w:r>
      <w:r w:rsidRPr="007561D7">
        <w:rPr>
          <w:rFonts w:ascii="Times New Roman" w:eastAsia="Times New Roman" w:hAnsi="Times New Roman" w:cs="Times New Roman"/>
          <w:kern w:val="0"/>
          <w:sz w:val="28"/>
          <w:szCs w:val="28"/>
          <w:vertAlign w:val="subscript"/>
          <w:lang w:eastAsia="ru-RU"/>
          <w14:ligatures w14:val="none"/>
        </w:rPr>
        <w:t>г</w:t>
      </w:r>
      <w:proofErr w:type="spellEnd"/>
      <w:r w:rsidRPr="007561D7">
        <w:rPr>
          <w:rFonts w:ascii="Times New Roman" w:eastAsia="Times New Roman" w:hAnsi="Times New Roman" w:cs="Times New Roman"/>
          <w:kern w:val="0"/>
          <w:sz w:val="28"/>
          <w:szCs w:val="28"/>
          <w:lang w:eastAsia="ru-RU"/>
          <w14:ligatures w14:val="none"/>
        </w:rPr>
        <w:t xml:space="preserve"> - сумма денежных средств, подлежащая перечислению перевозчику по маршруту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S</w:t>
      </w:r>
      <w:r w:rsidRPr="007561D7">
        <w:rPr>
          <w:rFonts w:ascii="Times New Roman" w:eastAsia="Times New Roman" w:hAnsi="Times New Roman" w:cs="Times New Roman"/>
          <w:kern w:val="0"/>
          <w:sz w:val="28"/>
          <w:szCs w:val="28"/>
          <w:vertAlign w:val="subscript"/>
          <w:lang w:eastAsia="ru-RU"/>
          <w14:ligatures w14:val="none"/>
        </w:rPr>
        <w:t>г</w:t>
      </w:r>
      <w:proofErr w:type="spellEnd"/>
      <w:r w:rsidRPr="007561D7">
        <w:rPr>
          <w:rFonts w:ascii="Times New Roman" w:eastAsia="Times New Roman" w:hAnsi="Times New Roman" w:cs="Times New Roman"/>
          <w:kern w:val="0"/>
          <w:sz w:val="28"/>
          <w:szCs w:val="28"/>
          <w:lang w:eastAsia="ru-RU"/>
          <w14:ligatures w14:val="none"/>
        </w:rPr>
        <w:t xml:space="preserve"> - сумма денежных средств, выделяемых на возмещение расходов за перевозку пассажиров, использующих персональную транспортную карту вида «Социальная карта» на основании отчета о количестве выданных персональных транспортных карт видов «Социальная карта»;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K</w:t>
      </w:r>
      <w:r w:rsidRPr="007561D7">
        <w:rPr>
          <w:rFonts w:ascii="Times New Roman" w:eastAsia="Times New Roman" w:hAnsi="Times New Roman" w:cs="Times New Roman"/>
          <w:kern w:val="0"/>
          <w:sz w:val="28"/>
          <w:szCs w:val="28"/>
          <w:vertAlign w:val="subscript"/>
          <w:lang w:eastAsia="ru-RU"/>
          <w14:ligatures w14:val="none"/>
        </w:rPr>
        <w:t>пг</w:t>
      </w:r>
      <w:proofErr w:type="spellEnd"/>
      <w:r w:rsidRPr="007561D7">
        <w:rPr>
          <w:rFonts w:ascii="Times New Roman" w:eastAsia="Times New Roman" w:hAnsi="Times New Roman" w:cs="Times New Roman"/>
          <w:kern w:val="0"/>
          <w:sz w:val="28"/>
          <w:szCs w:val="28"/>
          <w:lang w:eastAsia="ru-RU"/>
          <w14:ligatures w14:val="none"/>
        </w:rPr>
        <w:t xml:space="preserve"> - количество перевезенных пассажиров, использующих персональную транспортную карту вида «Социальная карта» по маршрутам регулярных перевозок города Барнаула;</w:t>
      </w:r>
    </w:p>
    <w:p w:rsidR="007561D7" w:rsidRPr="007561D7" w:rsidRDefault="007561D7" w:rsidP="007561D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proofErr w:type="spellStart"/>
      <w:r w:rsidRPr="007561D7">
        <w:rPr>
          <w:rFonts w:ascii="Times New Roman" w:eastAsia="Times New Roman" w:hAnsi="Times New Roman" w:cs="Times New Roman"/>
          <w:kern w:val="0"/>
          <w:sz w:val="28"/>
          <w:szCs w:val="28"/>
          <w:lang w:eastAsia="ru-RU"/>
          <w14:ligatures w14:val="none"/>
        </w:rPr>
        <w:t>k</w:t>
      </w:r>
      <w:r w:rsidRPr="007561D7">
        <w:rPr>
          <w:rFonts w:ascii="Times New Roman" w:eastAsia="Times New Roman" w:hAnsi="Times New Roman" w:cs="Times New Roman"/>
          <w:kern w:val="0"/>
          <w:sz w:val="28"/>
          <w:szCs w:val="28"/>
          <w:vertAlign w:val="subscript"/>
          <w:lang w:eastAsia="ru-RU"/>
          <w14:ligatures w14:val="none"/>
        </w:rPr>
        <w:t>мг</w:t>
      </w:r>
      <w:proofErr w:type="spellEnd"/>
      <w:r w:rsidRPr="007561D7">
        <w:rPr>
          <w:rFonts w:ascii="Times New Roman" w:eastAsia="Times New Roman" w:hAnsi="Times New Roman" w:cs="Times New Roman"/>
          <w:kern w:val="0"/>
          <w:sz w:val="28"/>
          <w:szCs w:val="28"/>
          <w:lang w:eastAsia="ru-RU"/>
          <w14:ligatures w14:val="none"/>
        </w:rPr>
        <w:t xml:space="preserve"> - количество перевезенных пассажиров, использующих персональную транспортную карту вида «Социальная карта» на маршруте регулярных перевозок города Барнаула.</w:t>
      </w: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vertAlign w:val="subscript"/>
          <w:lang w:eastAsia="ru-RU"/>
          <w14:ligatures w14:val="none"/>
        </w:rPr>
      </w:pP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vertAlign w:val="subscript"/>
          <w:lang w:eastAsia="ru-RU"/>
          <w14:ligatures w14:val="none"/>
        </w:rPr>
      </w:pP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7561D7" w:rsidRPr="007561D7" w:rsidRDefault="007561D7" w:rsidP="007561D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C1793F" w:rsidRDefault="00C1793F"/>
    <w:sectPr w:rsidR="00C1793F" w:rsidSect="007561D7">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7"/>
    <w:rsid w:val="001F0A4C"/>
    <w:rsid w:val="00324791"/>
    <w:rsid w:val="00330AF9"/>
    <w:rsid w:val="007561D7"/>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D812-81BC-4B7C-89C7-3FAFE14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561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61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61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61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61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61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61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61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61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61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61D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61D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61D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61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61D7"/>
    <w:rPr>
      <w:rFonts w:eastAsiaTheme="majorEastAsia" w:cstheme="majorBidi"/>
      <w:color w:val="595959" w:themeColor="text1" w:themeTint="A6"/>
    </w:rPr>
  </w:style>
  <w:style w:type="character" w:customStyle="1" w:styleId="80">
    <w:name w:val="Заголовок 8 Знак"/>
    <w:basedOn w:val="a0"/>
    <w:link w:val="8"/>
    <w:uiPriority w:val="9"/>
    <w:semiHidden/>
    <w:rsid w:val="007561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61D7"/>
    <w:rPr>
      <w:rFonts w:eastAsiaTheme="majorEastAsia" w:cstheme="majorBidi"/>
      <w:color w:val="272727" w:themeColor="text1" w:themeTint="D8"/>
    </w:rPr>
  </w:style>
  <w:style w:type="paragraph" w:styleId="a3">
    <w:name w:val="Title"/>
    <w:basedOn w:val="a"/>
    <w:next w:val="a"/>
    <w:link w:val="a4"/>
    <w:uiPriority w:val="10"/>
    <w:qFormat/>
    <w:rsid w:val="00756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6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1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61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61D7"/>
    <w:pPr>
      <w:spacing w:before="160"/>
      <w:jc w:val="center"/>
    </w:pPr>
    <w:rPr>
      <w:i/>
      <w:iCs/>
      <w:color w:val="404040" w:themeColor="text1" w:themeTint="BF"/>
    </w:rPr>
  </w:style>
  <w:style w:type="character" w:customStyle="1" w:styleId="22">
    <w:name w:val="Цитата 2 Знак"/>
    <w:basedOn w:val="a0"/>
    <w:link w:val="21"/>
    <w:uiPriority w:val="29"/>
    <w:rsid w:val="007561D7"/>
    <w:rPr>
      <w:i/>
      <w:iCs/>
      <w:color w:val="404040" w:themeColor="text1" w:themeTint="BF"/>
    </w:rPr>
  </w:style>
  <w:style w:type="paragraph" w:styleId="a7">
    <w:name w:val="List Paragraph"/>
    <w:basedOn w:val="a"/>
    <w:uiPriority w:val="34"/>
    <w:qFormat/>
    <w:rsid w:val="007561D7"/>
    <w:pPr>
      <w:ind w:left="720"/>
      <w:contextualSpacing/>
    </w:pPr>
  </w:style>
  <w:style w:type="character" w:styleId="a8">
    <w:name w:val="Intense Emphasis"/>
    <w:basedOn w:val="a0"/>
    <w:uiPriority w:val="21"/>
    <w:qFormat/>
    <w:rsid w:val="007561D7"/>
    <w:rPr>
      <w:i/>
      <w:iCs/>
      <w:color w:val="2F5496" w:themeColor="accent1" w:themeShade="BF"/>
    </w:rPr>
  </w:style>
  <w:style w:type="paragraph" w:styleId="a9">
    <w:name w:val="Intense Quote"/>
    <w:basedOn w:val="a"/>
    <w:next w:val="a"/>
    <w:link w:val="aa"/>
    <w:uiPriority w:val="30"/>
    <w:qFormat/>
    <w:rsid w:val="00756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561D7"/>
    <w:rPr>
      <w:i/>
      <w:iCs/>
      <w:color w:val="2F5496" w:themeColor="accent1" w:themeShade="BF"/>
    </w:rPr>
  </w:style>
  <w:style w:type="character" w:styleId="ab">
    <w:name w:val="Intense Reference"/>
    <w:basedOn w:val="a0"/>
    <w:uiPriority w:val="32"/>
    <w:qFormat/>
    <w:rsid w:val="00756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2025-04-28T03:35:00Z</dcterms:created>
  <dcterms:modified xsi:type="dcterms:W3CDTF">2025-04-28T03:35:00Z</dcterms:modified>
</cp:coreProperties>
</file>