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3"/>
        <w:pBdr/>
        <w:spacing/>
        <w:ind w:firstLine="5670"/>
        <w:contextualSpacing w:val="tru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pBdr/>
        <w:spacing/>
        <w:ind w:firstLine="5670"/>
        <w:contextualSpacing w:val="tru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pBdr/>
        <w:spacing/>
        <w:ind w:left="5670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pBdr/>
        <w:spacing/>
        <w:ind w:firstLine="5670"/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23.08.2024 </w:t>
      </w:r>
      <w:r>
        <w:rPr>
          <w:rFonts w:ascii="Times New Roman" w:hAnsi="Times New Roman"/>
          <w:sz w:val="28"/>
          <w:szCs w:val="28"/>
        </w:rPr>
        <w:t xml:space="preserve">№</w:t>
      </w:r>
      <w:bookmarkStart w:id="1" w:name="OCRUncertain002"/>
      <w:r>
        <w:rPr>
          <w:rFonts w:ascii="Times New Roman" w:hAnsi="Times New Roman"/>
          <w:sz w:val="28"/>
          <w:szCs w:val="28"/>
        </w:rPr>
        <w:t xml:space="preserve">455</w:t>
      </w:r>
      <w:bookmarkEnd w:id="1"/>
      <w:r/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4"/>
        <w:pBdr/>
        <w:spacing/>
        <w:ind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АДМИНИСТРАТИВНЫЙ РЕГЛАМЕНТ</w:t>
      </w:r>
      <w:r>
        <w:rPr>
          <w:b w:val="0"/>
          <w:color w:val="000000"/>
          <w:sz w:val="28"/>
          <w:szCs w:val="28"/>
        </w:rPr>
      </w:r>
    </w:p>
    <w:p>
      <w:pPr>
        <w:pStyle w:val="694"/>
        <w:pBdr/>
        <w:spacing/>
        <w:ind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предоставления</w:t>
      </w:r>
      <w:r>
        <w:rPr>
          <w:b w:val="0"/>
          <w:color w:val="000000"/>
          <w:sz w:val="28"/>
          <w:szCs w:val="28"/>
        </w:rPr>
        <w:t xml:space="preserve"> муниципальной услуги </w:t>
      </w:r>
      <w:r>
        <w:rPr>
          <w:b w:val="0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использование земель или земельного участка, находящихся в муниципальной собственности, без предоставления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и установления сервитута, публичного сервитута»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8"/>
        <w:tblW w:w="9067" w:type="dxa"/>
        <w:jc w:val="center"/>
        <w:tblBorders/>
        <w:tblLook w:val="04A0" w:firstRow="1" w:lastRow="0" w:firstColumn="1" w:lastColumn="0" w:noHBand="0" w:noVBand="1"/>
      </w:tblPr>
      <w:tblGrid>
        <w:gridCol w:w="2689"/>
        <w:gridCol w:w="6378"/>
      </w:tblGrid>
      <w:tr>
        <w:trPr>
          <w:jc w:val="center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подраздела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pBdr/>
        <w:spacing w:after="0" w:line="240" w:lineRule="auto"/>
        <w:ind w:left="496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698"/>
        <w:tblW w:w="9067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>
        <w:trPr>
          <w:jc w:val="center"/>
          <w:trHeight w:val="252"/>
          <w:tblHeader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85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Style w:val="705"/>
              <w:pBdr/>
              <w:spacing w:line="2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429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Предмет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Административный регламент предоставления муниципальной услуги «Выдача разрешения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сервитута» (далее − Регламент) разработан в целях повышения качества и доступности предост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сервитута» (далее − муниципальная услуга)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Железнодорожного района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комфортных условий для получения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электронной форме с использованием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соблюдением норм законодательства Российской Федерации о защите персональных данных.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Регламент устанавливает порядок и стандарт предоставления муниципальной услуги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администрацией Железнодорожного района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значения, установленных Федеральным законом от 06.10.2003 №131-ФЗ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 и Уставом городского округа − города Барнаула Алтайского края, в соответствии с требованиями </w:t>
            </w:r>
            <w:hyperlink r:id="rId11" w:tooltip="garantF1://12077515.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Федерального 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№210-ФЗ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предоставления государственных и муниципальных услуг» (далее – Федеральный закон от 27.07.2010 №210-ФЗ).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Регламент регулирует общественные отношения, возникающие в связи с выдачей разрешения на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сервитута, в целях, предусмотренных пунктом 1 статьи 39.34 Земельного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подведомственной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Железнодорожного района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Круг заявителей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2" w:name="sub_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Правом на подачу заявления о предоставлении муниципальной услуги (далее – заявление) обладают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лица или юридические лица либо их уполномоченные представители (далее – заявитель).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631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3" w:name="P45"/>
            <w:r/>
            <w:bookmarkEnd w:id="3"/>
            <w:r>
              <w:rPr>
                <w:rFonts w:ascii="Times New Roman" w:hAnsi="Times New Roman"/>
                <w:sz w:val="28"/>
              </w:rPr>
              <w:t xml:space="preserve"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</w:t>
            </w:r>
            <w:r>
              <w:rPr>
                <w:rFonts w:ascii="Times New Roman" w:hAnsi="Times New Roman"/>
                <w:sz w:val="28"/>
              </w:rPr>
              <w:t xml:space="preserve">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Требование предоставления заяв</w:t>
            </w:r>
            <w:r>
              <w:rPr>
                <w:rFonts w:ascii="Times New Roman" w:hAnsi="Times New Roman"/>
                <w:sz w:val="28"/>
              </w:rPr>
              <w:t xml:space="preserve">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00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Bdr/>
              <w:spacing w:line="220" w:lineRule="atLeast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Стандарт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417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витута, публичного сервитута.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698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предоставляющего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услугу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3"/>
              <w:pBdr/>
              <w:spacing/>
              <w:ind w:firstLine="540"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Органом, предоставляющим муниципальную услугу, является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Железнодорожного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Барнаула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администрация района города)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Непосредственно услугу оказывает управление архитектуры и градостроительства администрации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предоставлении муниципальной услуги в порядке межведомственного информационного взаимодействия участвуют: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государственной регистрации, кадастра и картографии по Алтайскому краю;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геологии и лицензирования по Алтайскому краю Департамента по недропользованию по Сибирскому федеральному округу.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документов, являющихся результатом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3.1.1. Постановление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установления сервитута, публичного сервитута (далее – постановление о выдаче разрешения на использование земель);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3.1.2.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(оформляется приложением к постановлению);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3.1.3. Постановление об отказе в выдаче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(далее – постановление об отказе в выдаче разрешения на использование земель).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Направление (выдача) заявителю документа, являющегося результатом предоставления муниципальной услуги, осуществляется в соответствии с подразделом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раздела III Регламента.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>
              <w:rPr>
                <w:rFonts w:ascii="Times New Roman" w:hAnsi="Times New Roman"/>
                <w:sz w:val="28"/>
              </w:rPr>
              <w:t xml:space="preserve">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 фиксируется факт получения заявителем результата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 Способы получения результата предоставления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заявитель получает непосредственно при личном обращении в администрацию района города;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направляется администрацией района города заявителю посредством почтового отправления;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администрацией района города заявителю посредством электронной почты;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администрацией района города заявителю посредством Единого портала государственных и муниципальных услуг (функций).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выбирается один из способов получения результата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услуги, о чем в заявлении делается соответствующая отметка.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Срок принятия документа, являющегося результатом предоставления муниципальной услуги, составляет 25 календарных дней со дня поступления заявления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предоставления муниципальной услуги в целях строительства (реконструкции) объектов электросетевого хозяйства срок принятия документа, являющегося результатом предоставления муниципальной услуги,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поступления заявления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трех рабочих дней со дня принятия документа, являющегося результатом предоставления муниципальной услуги, выдает заявителю указанный документ либо направляет его заявителю заказным письмом с приложением предоставленных им документов.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основания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Актуальный перечень нормативных правовых актов, регламентирующих предоставление муниципальной услуги, с указанием их реквизитов, а также информация о порядке досудебного (внесудебного) обжалования решений и действий (бездействи</w:t>
            </w:r>
            <w:r>
              <w:rPr>
                <w:rFonts w:ascii="Times New Roman" w:hAnsi="Times New Roman"/>
                <w:sz w:val="28"/>
              </w:rPr>
              <w:t xml:space="preserve">я</w:t>
            </w:r>
            <w:r>
              <w:rPr>
                <w:rFonts w:ascii="Times New Roman" w:hAnsi="Times New Roman"/>
                <w:sz w:val="28"/>
              </w:rPr>
              <w:t xml:space="preserve">) органа, предоставляющего муниципальную услугу, а также </w:t>
            </w:r>
            <w:r>
              <w:rPr>
                <w:rFonts w:ascii="Times New Roman" w:hAnsi="Times New Roman"/>
                <w:sz w:val="28"/>
              </w:rPr>
              <w:t xml:space="preserve">его</w:t>
            </w:r>
            <w:r>
              <w:rPr>
                <w:rFonts w:ascii="Times New Roman" w:hAnsi="Times New Roman"/>
                <w:sz w:val="28"/>
              </w:rPr>
              <w:t xml:space="preserve"> должностных лиц, муниципальных служащих, работников размещаются на официальном Интернет-сайте города Барнаула (далее – сайт города),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федеральной государственной информационной системе «Федеральный реестр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  муниципальной автоматизированной информационной системе «Электронный Барнаул» (далее – городской портал).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(направлению или подаче) заявителем: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6.1.1. Заявление (составляется по форме, установленной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Регламенту);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6.1.2. Копии документов, удостоверяющих личность заявителя и уполномоченного представителя заявителя, и документа, подтверждающего полномочия уполномоченного представителя, в случае, если заявление подается уполномоченным представителем;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6.1.3. Схема границ предполагаемых к использованию земель или части земельного участка на кадастровом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Заявление и документы, предусмотренные Регламентом, подаются на бумажном носителе или в электронной форме.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в заявлении выражает согласие на обработку персональных данных в соответствии с требованиями Федерального закона от 27.07.2006 №152-ФЗ «О персональных данных».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имеет право выразить согласие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При предоставлении документов в ходе личного приема заявителем предъявляются оригиналы документов для сверки предоставленных копий.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направлении заявления о предоставлении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услуги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идентификация заявителя осуществляется посредством авторизации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учетной записи Единого портала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муниципальных услуг (функций), созданной в Единой системе идентификации и аутентификации.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6.3.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Заявление подписывается заявителем либо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его уполномоченным представителем.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от 27.07.2010 №210-ФЗ.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Доверенность, подтверждающая правомочие на обращение за получением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усиленной квалифицированной электронной подписью нотариуса.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Bdr/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предоставляется в орган, предоставляющий муниципальную услугу, в форме электронного документа посредством отправки по электронной почте в виде файла в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docx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txt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xlsx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rtf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реквизиты документа.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заявления в электронной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заявлению прикрепляются отсканированные копии документов в формате, исключающем возможность редактирования, либо заверенные усиленной квалифицированной электронной подписью лица, подписавшего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уполномоченного лица органа, выдавшего документ, или усиленной квалифицированной электронной подписью нотариуса.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Указанные в пункте 6.1 настоящего подраздела Регламента заявление и документы могут быть предоставлены на личном приеме в орган, предоставляющий муниципальную услугу, направлены почтой, направлены в форме электронных документов с использованием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сети «Интернет» (далее – сеть Интернет)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электронной почте,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иным способом, позволяющим производить передачу данных в электронной форме).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Заявитель вправе предоставить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выписку из Единого государственного реестра недвижимости об объекте недвижимости;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копию лицензии, удостоверяющей право проведения работ по геологическому изучению недр;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6.6. Администрация района города не вправе требовать от заявителя: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и информации, которые в соответствии с нормативными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актами Российской Федерации, нормативными правовыми актами Алтайского края и муниципальными нормативными правовыми актами нахо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дятся в распоряжении органов государственной власти, органов местного самоуправления города,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40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8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4" w:name="sub_33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Основаниями для отказа в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являются следующие случаи: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.1. Заявление пода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27.11.2014 №1244 (далее – Правила);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.3. Земельный участок, на использование которого испрашивается разрешение, предоставлен физическому или юридическому лицу.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выдаче разрешения на использование 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сервитута, должно содержать основания отказа с обязательной ссылкой на обстоятельства, предусмотренные пунктом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Регламента. Отказ в предоставлении муниципальной услуги по иным основаниям, не предусмотренным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 Регламента, не допускается.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Отказ в выдаче разрешения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может быть обжалован заявителем в досудебном (внесудебном) или судебном порядке.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Отказ в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сервитута, публичного сервитута не является препятствием для повторной подачи заявления при условии устранения обстоятельств, по которым заявителю было отказано. Орган, предоставляющий муниципальную услугу, не вправе требовать от заявителя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№210-ФЗ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если заявление подано с нарушением требований, предусмотренных пунктами 3 и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Правил, в решении об отказе в выдаче разрешения должно быть указано, в чем состоит такое нарушение.</w:t>
            </w:r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8.7. Критерием принятия решения о предоставлении муниципальной услуги является отсутствие оснований для отказа в предоставлении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8.8.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40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Размер платы, взимаемой с заявителя при предоставлении муниципальной услуги, и способы ее взимания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3"/>
              <w:pBdr/>
              <w:spacing/>
              <w:ind w:firstLine="540"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Взимание платы за предоставление муниципальной услуги действующим законодательством Российской Федерации не предусмотрено.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jc w:val="center"/>
          <w:trHeight w:val="19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3"/>
              <w:pBdr/>
              <w:spacing/>
              <w:ind w:firstLine="540"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10.1. Срок ожидания заявителя в очереди при подаче заявления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управлении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должен превышать 15 минут.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firstLine="540"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10.2. Срок ожидания заявителя в очереди при получении результата предоставления муниципальной услуги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управлении администрации района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должен превышать 15 минут.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3"/>
              <w:pBdr/>
              <w:spacing/>
              <w:ind w:firstLine="540"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10.3.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подаче документов, предусмотренных </w:t>
            </w:r>
            <w:hyperlink w:tooltip="#P132" w:anchor="P132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подразделом 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раздела Регламента, по почте, по электронной почте, через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Единый портал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необходимость ожидания в очереди при подаче заявления исключается.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jc w:val="center"/>
          <w:trHeight w:val="330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регистрации заявления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3"/>
              <w:pBdr/>
              <w:spacing/>
              <w:ind w:firstLine="540"/>
              <w:contextualSpacing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подлежит обязательной регистрации в течение одного рабочего дня с момента поступления заявления в управление администрации района города в порядке, определенном </w:t>
            </w:r>
            <w:hyperlink w:tooltip="#P423" w:anchor="P423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разделом III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Регламента.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jc w:val="center"/>
          <w:trHeight w:val="40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Требования к помещениям, в которых предоставля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12.1. Администрация района города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заявителя и специалиста, осуществляющего прием заявлений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муниципальной услуги и прилагаемых к ним документов;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удобство заполнения заявителем заявления о предоставлении муниципальной услуги на бумажном носителе;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нормативным правовым актам, регламентирующим полномочия и сферу компетенции органа, предоставляющего муниципальную услугу;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нормативным правовым актам, регулирующим предоставление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стендов, содержащих информацию, связанную с предоставлением муниципальной услуги, и отвечающих требованиям </w:t>
            </w:r>
            <w:hyperlink w:tooltip="#P331" w:anchor="P33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 12.3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 Администрацией района города выполняются требования Федерального </w:t>
            </w:r>
            <w:hyperlink r:id="rId12" w:tooltip="consultantplus://offline/ref=9410DED04B84A73D42079FCF7B22771773DFB4F0E0B7E14CB86F772E17k8TFF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24.11.1995 №181-ФЗ «О социальной защите инвалидов в Российской Федерации» в части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территории, прилегающей к зданию, в котором предоставляется муниципальная услуга,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случаев, предусмотренных правилами дорожного движения;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здания и помещения, в которых предоставляется муниципальная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в зал ожидания и места для заполнения заявлений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управления администрации района города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 лиц из числа иных маломобильных групп населения при передви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района города обеспечивается: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тифлосурдопереводчика;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</w:t>
            </w:r>
            <w:hyperlink r:id="rId13" w:tooltip="consultantplus://offline/ref=9410DED04B84A73D420781D46E22771770D6B0F2EBB8E14CB86F772E178F4A8AD36FF6F62976F390k0T8F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hyperlink r:id="rId14" w:tooltip="consultantplus://offline/ref=9410DED04B84A73D420781D46E22771770D6B0F2EBB8E14CB86F772E178F4A8AD36FF6F62976F392k0T2F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порядке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5" w:name="P331"/>
            <w:r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 Информационные стенды должны размещаться на видном и доступном для граждан 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нормативных правовых актов Российской Федерации, регулирующих предоставление муниципальной услуги и регламентирующих полномочия и сферу компетенции органа, предоставляющего муниципальную услугу;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и образец его заполнения;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необходимых для предоставления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53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Показатели доступности и качества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 w:firstLine="600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13.1. Показателями доступности и качества муниципальной услуги являются: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600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своевременность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(соблюдение установленного срока предоставления муниципальной услуги);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600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качество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(удовлетворенность заявителя качеством предоставления муниципальной услуги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и правильность оформления документов в ходе предоставления муниципальной услуги);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600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доступность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(показатели оценки соблюдения права заявителя на получение актуальной и достоверной информации о ходе предоставления муниципальной услуги);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600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процесс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обжалования (показатели оценки реализации права заявителя на обжалование действий (бездействия) в ходе предоставления муниципальной услуги);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600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вежливость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(показатели оценки заявителем проявления вежливого отношения муниципальными служащими (должностными лицами) в ходе предоставления муниципальной услуги).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tabs>
                <w:tab w:val="left" w:leader="none" w:pos="-5670"/>
              </w:tabs>
              <w:spacing w:line="240" w:lineRule="auto"/>
              <w:ind w:firstLine="600"/>
              <w:jc w:val="both"/>
              <w:outlineLvl w:val="2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13.2. 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tbl>
            <w:tblPr>
              <w:tblW w:w="6138" w:type="dxa"/>
              <w:jc w:val="center"/>
              <w:tblBorders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9"/>
              <w:gridCol w:w="1499"/>
            </w:tblGrid>
            <w:tr>
              <w:trPr>
                <w:cantSplit/>
                <w:jc w:val="center"/>
                <w:trHeight w:val="463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качества и доступности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Целевое значение показателя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137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272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138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Своевременность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1123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1.1. % (доля) случаев предоставления муниципальной услуги с соблюдением установленного срока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8"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282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138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Качество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69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% (доля) заявителей, удовлетворенных качеством процесса предоставления муниципальной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62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2.2. % (доля) случаев правильно оформленных документов должностным лицом (регистрация)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368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138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Доступность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662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3.1. % (доля) заявителей, считающих, что предоставленная информация о муниципальной услуге в сети Интернет, доступна и понятна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244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138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10"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Процесс обжалования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678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4.1. % (доля) обоснованных жалоб к общему количеству обслуженных заявителей по данному виду муниципальной услуги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0,02-0%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391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4.2. % (доля) обоснованных жалоб, рассмотренных и удовлетворенных в установленный срок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8"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478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4.3. % (доля) заявителей, удовлетворенных существующим порядком обжалования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8"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401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8"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478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4.4. % (доля) заявителей, удовлетворенных сроками обжалования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8"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315"/>
              </w:trPr>
              <w:tc>
                <w:tcPr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6138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Вежливость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cantSplit/>
                <w:jc w:val="center"/>
                <w:trHeight w:val="760"/>
              </w:trPr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463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540"/>
                    <w:contextualSpacing w:val="true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5.1. % (доля) заявителей, удовлетворенных вежливостью должностных лиц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1499" w:type="dxa"/>
                  <w:textDirection w:val="lrTb"/>
                  <w:noWrap w:val="false"/>
                </w:tcPr>
                <w:p>
                  <w:pPr>
                    <w:pStyle w:val="712"/>
                    <w:pBdr/>
                    <w:spacing/>
                    <w:ind w:firstLine="8"/>
                    <w:contextualSpacing w:val="true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13.3. 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раз.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 минут.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987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14. Иные требования, в том числе учитывающие особенности предоставления муниципальной услуги в электронной форме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/>
            <w:bookmarkStart w:id="6" w:name="P342"/>
            <w:r/>
            <w:bookmarkEnd w:id="6"/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14.1. На сайте города, на информационных стендах в местах предоставления муниципальной услуги, городском портале размещается информация о месте нахождения, почтовом адресе, справочных телефонах, графике работы, адресах электронной почты: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администрации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района города;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органа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государственной власти, органов местного самоуправления, организаций, участвующих в предоставлении муниципальной услуги в порядке межведомственного информационного взаимодействия.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14.2. Информация о порядке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Адрес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Единого портала государственных и муниципальных услуг (функций)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, городского портала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сети Интернет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указан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в приложении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к Регламенту.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Для получения муниципальной услуги с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спользованием Единого портала государственных 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14.3. Информация по вопросам предоставления муниципальной услуги, в том числе о порядке и сроках ее оказания (далее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информация по вопросам предоставления муниципальной услуги), является открытой и общедоступной.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14.3.1. Информация по вопросам предоставления муниципальной услуги может быть получена заявителем самостоятельно путем ознакомления с информацией: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информационных стендах в местах предоставления муниципальной услуги;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сайте города;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городском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портале.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14.3.2. Информация по вопросам предоставления муниципальной услуги может быть получена заявителем посредством письменного и (или) устного обращения в орган, предоставляющий муниципальную услугу: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почте;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электронной почте или иным способом, позволяющим производить передачу данных в электронной форме;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контактному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телефону;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ходе личного приема.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14.4. Сведения о ходе предоставления муниципальной услуги (по конкретному заявлению) могут быть получены заявителем: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14.4.1. 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Самостоятельно в «Личном кабинете»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(в случае подачи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заявления через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Единый портал государственных и муниципальных услуг (функций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14.4.2. Посредством письменного и (или) устного обращения в орган, предоставляющий муниципальную услугу: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почте;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электронной почте или иным способом, позволяющим производить передачу данных в электронной форме;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контактным телефонам;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ходе личного приема.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14.5. 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орган, предоставляющий муниципальную услугу, в следующих формах: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устной форме (при личном устном обращении по контактному телефону, в ходе личного приема (в случаях, предусмотренных </w:t>
            </w:r>
            <w:hyperlink w:tooltip="#Par28" w:anchor="Par28" w:history="1">
              <w:r>
                <w:rPr>
                  <w:rStyle w:val="714"/>
                  <w:rFonts w:ascii="Times New Roman" w:hAnsi="Times New Roman" w:cs="Times New Roman"/>
                  <w:sz w:val="28"/>
                  <w:szCs w:val="28"/>
                </w:rPr>
                <w:t xml:space="preserve">подпунктами 14.5.1</w:t>
              </w:r>
            </w:hyperlink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tooltip="#Par30" w:anchor="Par30" w:history="1">
              <w:r>
                <w:rPr>
                  <w:rStyle w:val="714"/>
                  <w:rFonts w:ascii="Times New Roman" w:hAnsi="Times New Roman" w:cs="Times New Roman"/>
                  <w:sz w:val="28"/>
                  <w:szCs w:val="28"/>
                </w:rPr>
                <w:t xml:space="preserve">14.5.2</w:t>
              </w:r>
            </w:hyperlink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Регламента);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письменной форме (при направлении обращения по почте, при личном устном обращении в ходе личного приема (в случаях, предусмотренных </w:t>
            </w:r>
            <w:hyperlink w:tooltip="#Par28" w:anchor="Par28" w:history="1">
              <w:r>
                <w:rPr>
                  <w:rStyle w:val="714"/>
                  <w:rFonts w:ascii="Times New Roman" w:hAnsi="Times New Roman" w:cs="Times New Roman"/>
                  <w:sz w:val="28"/>
                  <w:szCs w:val="28"/>
                </w:rPr>
                <w:t xml:space="preserve">подпунктами 14.5.1</w:t>
              </w:r>
            </w:hyperlink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tooltip="#Par33" w:anchor="Par33" w:history="1">
              <w:r>
                <w:rPr>
                  <w:rStyle w:val="714"/>
                  <w:rFonts w:ascii="Times New Roman" w:hAnsi="Times New Roman" w:cs="Times New Roman"/>
                  <w:sz w:val="28"/>
                  <w:szCs w:val="28"/>
                </w:rPr>
                <w:t xml:space="preserve">14.5.3</w:t>
              </w:r>
            </w:hyperlink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Регламента), при обращении по электронной почте или иным способом, позволяющим производить передачу данных в электронной форме (в случаях, предусмотренных </w:t>
            </w:r>
            <w:hyperlink w:tooltip="#Par34" w:anchor="Par34" w:history="1">
              <w:r>
                <w:rPr>
                  <w:rStyle w:val="714"/>
                  <w:rFonts w:ascii="Times New Roman" w:hAnsi="Times New Roman" w:cs="Times New Roman"/>
                  <w:sz w:val="28"/>
                  <w:szCs w:val="28"/>
                </w:rPr>
                <w:t xml:space="preserve">подпунктом 14.5.4</w:t>
              </w:r>
            </w:hyperlink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Регламента);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</w:t>
            </w:r>
            <w:hyperlink w:tooltip="#Par34" w:anchor="Par34" w:history="1">
              <w:r>
                <w:rPr>
                  <w:rStyle w:val="714"/>
                  <w:rFonts w:ascii="Times New Roman" w:hAnsi="Times New Roman" w:cs="Times New Roman"/>
                  <w:sz w:val="28"/>
                  <w:szCs w:val="28"/>
                </w:rPr>
                <w:t xml:space="preserve">подпунктом 14.5.4</w:t>
              </w:r>
            </w:hyperlink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Регламента).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/>
            <w:bookmarkStart w:id="7" w:name="Par28"/>
            <w:r/>
            <w:bookmarkEnd w:id="7"/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14.5.1. 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услуги специалист указанного органа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</w:t>
            </w:r>
            <w:hyperlink w:tooltip="#Par33" w:anchor="Par33" w:history="1">
              <w:r>
                <w:rPr>
                  <w:rStyle w:val="714"/>
                  <w:rFonts w:ascii="Times New Roman" w:hAnsi="Times New Roman" w:cs="Times New Roman"/>
                  <w:sz w:val="28"/>
                  <w:szCs w:val="28"/>
                </w:rPr>
                <w:t xml:space="preserve">подпунктом 14.5.3</w:t>
              </w:r>
            </w:hyperlink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его полномочия.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/>
            <w:bookmarkStart w:id="8" w:name="Par30"/>
            <w:r/>
            <w:bookmarkEnd w:id="8"/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14.5.2. При личном устном обращении по контактному телефону в орган, предост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авляющий муниципальную услугу, информирование о порядке предоставления муниципальной услуги осуществляется в часы работы органа, предоставляющего муниципальную услугу. Специалист органа, предоставляющего муниципальную услугу, называет наименование органа,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который он представляет, свои фамилию, имя, отчество и должность, предлагает лицу, обратившемуся за информированием, представиться, выслушивает и уточняет, при необходимости, суть вопроса. После совершения указанных действий специалист органа, предоставляю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щего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письменного обращения, обращения по электронной почте или иным способом, позволяющим 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Во время телефонного разговора специалист органа, предоставляющего муниципальную услугу, должен произносить слова четко, избегать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15 минут.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/>
            <w:bookmarkStart w:id="9" w:name="Par33"/>
            <w:r/>
            <w:bookmarkEnd w:id="9"/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5.3. 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30 дней со дня регистрации письменного обращения по почтовому адресу, указанному в письменном обращении, а при его отсутствии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 адресу, указанному на почтовом отправлении. Ответ п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одписывается уполномоченным на подписание ответа должностным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/>
            <w:bookmarkStart w:id="10" w:name="Par34"/>
            <w:r/>
            <w:bookmarkEnd w:id="10"/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14.5.4. При обращении заявителя в электронной форме по электронной почте или иным способом, позволяющим передачу данных в электронной форме, инфор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 если заявителем не указан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течение 30 дней со дня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регистрации обраще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ния. Ответ подписывается уполномоченным на подписание ответа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14.6. Основными требованиями к информированию заявителя о предоставлении муниципальной услуги являются: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достоверность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предоставляемой информации;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четкость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и лаконичность в изложении информации;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полнота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и оперативность информирования;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наглядность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форм предоставляемой информации;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удобство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и доступность информации.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14.7. Обращение за получением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администрации района города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14.8. В ходе предоставления муниципальной услуги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направляются уведомления и запросы, связанные с оказанием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14.9. 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в его «Личном кабинете» обеспечивается доступ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результату предоставления муниципальной услуги, полученному в форме электронного документа.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сохранения электронного документа, являющегося результатом предоставления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14.10. Услуги, необходимые и обязательные для предоставления муниципальной услуги, отсутствуют.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00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Bdr/>
              <w:spacing w:line="220" w:lineRule="atLeast"/>
              <w:ind w:firstLine="2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Состав, последовательность и сроки выполнения административ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ных процедур,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539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/>
              <w:jc w:val="both"/>
              <w:outlineLvl w:val="2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 Перечень вариантов предоставления муниципальной услуги, включающий в том числе варианты предоставления муниципальной услуги, необходим</w:t>
            </w:r>
            <w:r>
              <w:rPr>
                <w:rFonts w:ascii="Times New Roman" w:hAnsi="Times New Roman"/>
                <w:sz w:val="28"/>
              </w:rPr>
              <w:t xml:space="preserve">ые</w:t>
            </w:r>
            <w:r>
              <w:rPr>
                <w:rFonts w:ascii="Times New Roman" w:hAnsi="Times New Roman"/>
                <w:sz w:val="28"/>
              </w:rPr>
      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</w:t>
            </w:r>
            <w:r>
              <w:rPr>
                <w:rFonts w:ascii="Times New Roman" w:hAnsi="Times New Roman"/>
                <w:sz w:val="28"/>
              </w:rPr>
              <w:t xml:space="preserve">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1.1. Предусмотрен следующи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вариант предоставления муниципальной услуги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сервитута.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1.2.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 В случае выявления в выданных в результате предоставления муниципальной услуги документах опечаток и ошибок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управления администрации района города,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ответственный за предоставление муниципальной услуги (далее – ответственный специалист), </w:t>
            </w:r>
            <w:r>
              <w:rPr>
                <w:rStyle w:val="714"/>
                <w:rFonts w:ascii="Times New Roman" w:hAnsi="Times New Roman" w:cs="Times New Roman"/>
                <w:sz w:val="28"/>
                <w:szCs w:val="28"/>
              </w:rPr>
              <w:t xml:space="preserve">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539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5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Описание административной процедуры профилирования заявителя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процедура профилировани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539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 w:line="220" w:lineRule="atLeast"/>
              <w:ind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3. Описание вариантов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 Оказание муниципальной услуги включает в себя следующие административные процедуры: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3.1.1. Получение (прием), регистрация заявления и приложенных к нему документов (при наличии);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3.1.2. Направление запросов в рамках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3.1.3. Рассмотрение заявления, принятие (подписание) документа, являющегося результатом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3.1.4. Информирование заявителя о возможности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олучения документа, являющегося результатом предоставления муниципальной услуги, при личном обращении в администрацию района города или направление документа, являющегося результатом предоставления муниципальной услуги, при обращении заявителя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Получение (прием), регистрация заявления и приложенных к нему документов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3.2.1. Основанием для начала административной процедуры является получение (прием) управлением администрации района города направленных (поданных) заявителем заявления и приложенных к нему документов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в пункте 6.1 подраздела 6 раздела II Регламента.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Установление личности осуществляется путем предоставления заявителем паспорта гражданина Российской Федерации или иных документов, удостоверяющих личность заявителя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в соответствии с законодательством Российской Федерации либо путем идентификации заявителя посредством авторизации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может быть подано уполномоченным представителем заявителя.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отказа в приеме заявления и документов отсутствуют.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3.2.2. 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управления администрации района города, ответственный за прием (направление) документов (далее – специалист, ответственный за прием (направление) документов), в ходе личного приема: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обращения;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заявителя и его полномочия;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заполнения заявления, наличие документов, указанных в заявлении в качестве прилагаемых к нему;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верность прилагаемых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заявлению копий документов путем их сверки с подлинниками;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копии документов и возвращает подлинники заявителю.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ответственный за прием (направление) документов, после совершения действий, указанных в абзацах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настоящего подпункта Регламента, составляет в одном экземпляре расписку в получении документов по форме, согласно приложению 3 к Регламенту.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ответственный за прием (направление) документов, проводит ознакомление заявителя с распиской, передает расписку заявителю.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рабочего дня с момента поступления заявления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ответственный за прием (направление) документов, регистрирует заявление путем проставления на нем регистрационного штампа, в котором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входящий номер, дата приема заявления, а также фамилия, имя, отчество (последнее – при наличии) и подпись специалиста, ответственного за прием (направление) документов. Сведения о зарегистрированном заявлении вносятся в регистрационный журнал.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  <w:tab w:val="left" w:leader="none" w:pos="5245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специалист, ответственный за прием (направление) документов, передает заявление и приложенные к нему документы (при наличии) на рассмотрение начальнику управления администрации района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  <w:tab w:val="left" w:leader="none" w:pos="5245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3.2.3. 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1" w:name="sub_2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ответственный за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(направление) документов, в течение одного рабочего дня с момента поступления в орган, предоставляющий муниципальную услугу, по почте заявления регистрирует его путем проставления на нем регистрационного штампа, в котором указывается входящий номер, 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заявления, а также фамилия, имя, отчество (последнее – при наличии), подпись специалиста, ответственного за прием (направление) документов. Сведения о зарегистрированном заявлении вносятся в регистрационный журнал.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специалист, ответственный за прием (направление) документов, передает заявление и приложенные к нему документы на рассмотрение начальнику управления администрации района города.</w:t>
            </w:r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1"/>
              <w:contextualSpacing w:val="tru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3.2.4. 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(функций) или иным способом, позволяющим производить пере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дачу данных в электронной форме.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601"/>
              <w:contextualSpacing w:val="tru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 направления заявителем заявления через Единый портал государственных и муниципальных услуг (функций) или иным способом, позволяющим производить передачу данных в электронной форме: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601"/>
              <w:contextualSpacing w:val="tru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регистрируется датой его поступления с учетом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очередности поступления заявлений. В случае поступления заявления в электронной форме после завершения рабочего дня или в выходной день, заявление регистрируется в начале следующего рабочего дня в последовательности поступления заявлений в нерабочее время;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601"/>
              <w:contextualSpacing w:val="tru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за прием (направление) документов,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распечатывает заявл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и приложенные к нему документы, поступившие в электронной форме, регистрирует заявление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заявления;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601"/>
              <w:contextualSpacing w:val="tru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зарегистрированном заявлении вносятся в регистрационный журнал;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 w:firstLine="601"/>
              <w:contextualSpacing w:val="tru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ответственный за прием (направление) документов,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передает заявление и документы, приложенные к нему, на рассмотрение начальнику Управления;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позднее рабочего дня, следующего за днем поступления заявления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района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получение заявления и прилагаемых к нему документов подтверждается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района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путем направления в «Личный кабинет» заявителя на Едином портале государственных и муниципальны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 услуг (функций) уведомления о факте приема заявления, содержащего входящий регистрационный номер заявления, дату получения заявления и прилагаемых к нему документов, перечень файлов, предоставленных в форме электронных документов, с указанием их объема.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специалист, ответственный за прием (направление) документов, передает заявление и приложенные к нему документы на рассмотрение начальнику управления администрации района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tabs>
                <w:tab w:val="left" w:leader="none" w:pos="-5670"/>
              </w:tabs>
              <w:spacing w:line="220" w:lineRule="atLeast"/>
              <w:ind w:firstLine="601"/>
              <w:contextualSpacing w:val="true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3.2.5. Результатом административной процедуры является регистрация заявления и приложенных к нему документов (при наличии) и передача зарегистрированного заявления на рассмотрение начальнику управления администрации района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3.2.6. Срок административной процедуры – один рабочий день со дня поступления заявления и приложенных к нему документов (при наличии)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 Направление запросов в рамках межведомственного информационного взаимодействия.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3.3.1. Основанием для начала административной процедуры является передача заявления и приложенны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нему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на рассмотрение начальнику управления администрации района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3.3.2. Начальник управления администрации района города в день поступления на рассмотрение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приложенных к нему документов (при наличии) определяет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специалиста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с резолюцией для организации дальнейшего исполнения.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заявителем не предоставлены по собственной инициативе документы, указанные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раздела II Регламента, ответственный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 ему заявления запрашивает в рамках межведомственного информационного взаимодействия: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недвижимости об объекте недвижимости (в отношении земельных участков) – в Управлении Федеральной службы государственной регистрации, кадастра и картографии по Алтайскому краю;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действующей лицензии, удостоверяющей право проведения работ по геологическому изучению недр (при обращении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явителя за предоставлением разрешения в целях осуществления геологического изучения недр на срок действия соответствующей лицензии) – в Отделе геологии и лицензирования по Алтайскому краю Департамента по недропользованию по Сибирскому федеральному округу.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запрашиваются с целью предоставления муниципальной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 дней, а при предоставлении муниципальной услуги в целях строительства (реконструкции) объектов электросетевого хозяйства –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направления межведомственных запросов осуществляет прием документов, поступивших в рамках межведомственного информационного взаимодействия, приобщает их к заявлению.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3.3.4. Результатом административной процедуры является получение ответственным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документов, поступивших в рамках межведомственного информационного взаимодействия.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3.3.5. Срок выполнения административной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 дней, а при предоставлении муниципальной услуги в целях строительства (реконструкции) объектов электросетевого хозяйства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передачи зарегистрированного заявления на рассмотрение начальнику управления администрации района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 Рассмотрение заявления, принятие (подписание) документа, являющегося результатом предоставления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 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3.4.2. Ответственный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дней, а при предоставлении муниципальной услуги в целях строительства (реконструкции) объектов электросетевого хозяйства –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рабочего дня</w:t>
            </w:r>
            <w:r>
              <w:rPr>
                <w:rFonts w:ascii="Times New Roman" w:hAnsi="Times New Roman"/>
                <w:sz w:val="28"/>
              </w:rPr>
              <w:t xml:space="preserve"> со дня, следующего за днем получения документов, поступивших в рамках межведомственного информационного взаимодействия: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осуществляет</w:t>
            </w:r>
            <w:r>
              <w:rPr>
                <w:rFonts w:ascii="Times New Roman" w:hAnsi="Times New Roman"/>
                <w:sz w:val="28"/>
              </w:rPr>
              <w:t xml:space="preserve"> проверку, поступившего заявления и приложенных к нему документов (при наличии)</w:t>
            </w:r>
            <w:r>
              <w:rPr>
                <w:rFonts w:ascii="Times New Roman" w:hAnsi="Times New Roman"/>
                <w:sz w:val="28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поступивших в рамках межведомственного информационного взаимодействия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</w:t>
            </w:r>
            <w:r>
              <w:rPr>
                <w:rFonts w:ascii="Times New Roman" w:hAnsi="Times New Roman"/>
                <w:sz w:val="28"/>
              </w:rPr>
              <w:t xml:space="preserve"> случае наличия оснований для отказа, установленных пунктом 8.2 подраздела 8 раздела II Регламента,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готовит проект постановления администрации района города об отказе в выдаче разрешения на использование земель с указанием оснований отказа</w:t>
            </w:r>
            <w:r>
              <w:rPr>
                <w:rFonts w:ascii="Times New Roman" w:hAnsi="Times New Roman"/>
                <w:sz w:val="28"/>
              </w:rPr>
              <w:t xml:space="preserve"> и передает его на согласование начальнику управления администрации района;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-5670"/>
                <w:tab w:val="left" w:leader="none" w:pos="-5529"/>
              </w:tabs>
              <w:spacing w:line="220" w:lineRule="atLeast"/>
              <w:ind w:firstLine="60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отсутствия оснований для отказа, установленных пунктом 8.2 подраздела 8 раздела II Регламента,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готовит проект постановления администрации района города о выдаче разрешения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использование земель, а также оформляет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по форме, установленной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приложением 4 к Регламенту, которое является приложением к проекту постановления администрации района города о выдаче разрешения на использование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передает его на согласование начальнику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администрации района города визирует проект постановления администрации района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выдаче разрешения на использование земель</w:t>
            </w:r>
            <w:r>
              <w:rPr>
                <w:rFonts w:ascii="Times New Roman" w:hAnsi="Times New Roman"/>
                <w:sz w:val="28"/>
              </w:rPr>
              <w:t xml:space="preserve"> либо 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выдаче разрешения на использование земель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>
              <w:rPr>
                <w:rFonts w:ascii="Times New Roman" w:hAnsi="Times New Roman"/>
                <w:sz w:val="28"/>
              </w:rPr>
              <w:t xml:space="preserve">день</w:t>
            </w:r>
            <w:r>
              <w:rPr>
                <w:rFonts w:ascii="Times New Roman" w:hAnsi="Times New Roman"/>
                <w:sz w:val="28"/>
              </w:rPr>
              <w:t xml:space="preserve">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3.4.3. Проект постановления администрации района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выдаче разрешения на использование земель</w:t>
            </w:r>
            <w:r>
              <w:rPr>
                <w:rFonts w:ascii="Times New Roman" w:hAnsi="Times New Roman"/>
                <w:sz w:val="28"/>
              </w:rPr>
              <w:t xml:space="preserve"> либо 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выдаче разрешения на использование земель</w:t>
            </w:r>
            <w:r>
              <w:rPr>
                <w:rFonts w:ascii="Times New Roman" w:hAnsi="Times New Roman"/>
                <w:sz w:val="28"/>
              </w:rPr>
              <w:t xml:space="preserve"> в течение </w:t>
            </w:r>
            <w:r>
              <w:rPr>
                <w:rFonts w:ascii="Times New Roman" w:hAnsi="Times New Roman"/>
                <w:sz w:val="28"/>
              </w:rPr>
              <w:t xml:space="preserve">семи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календарных </w:t>
            </w:r>
            <w:r>
              <w:rPr>
                <w:rFonts w:ascii="Times New Roman" w:hAnsi="Times New Roman"/>
                <w:sz w:val="28"/>
              </w:rPr>
              <w:t xml:space="preserve">дней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при предоставлении муниципальной услуги в целях строительства (реконструкции) объектов электросетевого хозяйства – в течение одного рабочего дня</w:t>
            </w:r>
            <w:r>
              <w:rPr>
                <w:rFonts w:ascii="Times New Roman" w:hAnsi="Times New Roman"/>
                <w:sz w:val="28"/>
              </w:rPr>
              <w:t xml:space="preserve"> со дня его визирования начальником управления администрации района города: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согласовывается</w:t>
            </w:r>
            <w:r>
              <w:rPr>
                <w:rFonts w:ascii="Times New Roman" w:hAnsi="Times New Roman"/>
                <w:sz w:val="28"/>
              </w:rPr>
              <w:t xml:space="preserve"> должностными лицами администрации района города;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подписывается</w:t>
            </w:r>
            <w:r>
              <w:rPr>
                <w:rFonts w:ascii="Times New Roman" w:hAnsi="Times New Roman"/>
                <w:sz w:val="28"/>
              </w:rPr>
              <w:t xml:space="preserve"> главой администрации района города;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регистрируется</w:t>
            </w:r>
            <w:r>
              <w:rPr>
                <w:rFonts w:ascii="Times New Roman" w:hAnsi="Times New Roman"/>
                <w:sz w:val="28"/>
              </w:rPr>
              <w:t xml:space="preserve"> и передается ответственному специалисту.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3.4.4. </w:t>
            </w:r>
            <w:r>
              <w:rPr>
                <w:rFonts w:ascii="Times New Roman" w:hAnsi="Times New Roman"/>
                <w:sz w:val="28"/>
              </w:rPr>
              <w:t xml:space="preserve">В случае, если заявление и прилагаемые к нему документы поступили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, то ответственный специалист в течение одного рабочего дня с момента завершения </w:t>
            </w:r>
            <w:r>
              <w:rPr>
                <w:rFonts w:ascii="Times New Roman" w:hAnsi="Times New Roman"/>
                <w:sz w:val="28"/>
              </w:rPr>
              <w:t xml:space="preserve">процедуры направляет уведомление о результате рассмотрения заявления и приложенных к нему документов в форме сообщения в «Личный кабинет» заявителя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Данное уведомление содержит сведения о подписании постановления о выдаче разрешения на использование земель (с приложенным разрешением на использование земель или земельного участка, находящихся в муниципальной собственности, без предос</w:t>
            </w:r>
            <w:r>
              <w:rPr>
                <w:rFonts w:ascii="Times New Roman" w:hAnsi="Times New Roman"/>
                <w:sz w:val="28"/>
              </w:rPr>
              <w:t xml:space="preserve">тавления земельных участков и установления сервитута, публичного сервитута) и возможности получения результата предоставления муниципальной услуги, с указанием способа его получения, либо постановления об отказе в выдаче разрешения на использование земель.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Результатом административной процедуры является передача подписанного документа, являющегося результатом предоставления муниципальной услу</w:t>
            </w:r>
            <w:r>
              <w:rPr>
                <w:rFonts w:ascii="Times New Roman" w:hAnsi="Times New Roman"/>
                <w:sz w:val="28"/>
              </w:rPr>
              <w:t xml:space="preserve">ги, ответственному специалисту.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выполнения административной процедуры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в случае предоставления муниципальной услуги в целях строительства (реконструкции) объектов электросетевого хозяйства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рабочих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 момента получения ответственным специалистом документов, поступивших в рамках межведомственного информационного взаимодействия.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tabs>
                <w:tab w:val="left" w:leader="none" w:pos="-5670"/>
              </w:tabs>
              <w:spacing w:line="220" w:lineRule="atLeast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 Информирование заявителя о возможности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олучения документа, являющегося результатом предоставления муниципальной услуги, при личном обращении в администрацию района города или направление документа, являющегося результатом предоставления муниципальной услуги, при обращении заявителя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3.5.1. Основанием для начала административной процедуры является </w:t>
            </w:r>
            <w:r>
              <w:rPr>
                <w:rFonts w:ascii="Times New Roman" w:hAnsi="Times New Roman"/>
                <w:sz w:val="28"/>
              </w:rPr>
              <w:t xml:space="preserve">поступление подписанного документа, являющегося результатом предоставления муниципальной услуги, ответственному специалисту.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2977"/>
              </w:tabs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3.5.2. Ответстве</w:t>
            </w:r>
            <w:r>
              <w:rPr>
                <w:rFonts w:ascii="Times New Roman" w:hAnsi="Times New Roman"/>
                <w:sz w:val="28"/>
              </w:rPr>
              <w:t xml:space="preserve">нный специалист в течение трех рабочих дней со дня получения документа, являющегося результатом предоставления муниципальной услуги, в зависимости от способа, выбранного заявителем в уведомлении для получения результата предоставления муниципальной услуги: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2977"/>
              </w:tabs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информирует</w:t>
            </w:r>
            <w:r>
              <w:rPr>
                <w:rFonts w:ascii="Times New Roman" w:hAnsi="Times New Roman"/>
                <w:sz w:val="28"/>
              </w:rPr>
              <w:t xml:space="preserve"> заявителя в электронной форме по адресу электронной почты путем направления СМС-оповещения или по телефонам, указанным в заявлении, о готовности документа и возможности его получения;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2977"/>
              </w:tabs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направляет</w:t>
            </w:r>
            <w:r>
              <w:rPr>
                <w:rFonts w:ascii="Times New Roman" w:hAnsi="Times New Roman"/>
                <w:sz w:val="28"/>
              </w:rPr>
              <w:t xml:space="preserve"> заявителю документ, являющийся результатом предоставления муниципальной услуги, посредством электронной почты;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tabs>
                <w:tab w:val="left" w:leader="none" w:pos="2977"/>
              </w:tabs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направляет</w:t>
            </w:r>
            <w:r>
              <w:rPr>
                <w:rFonts w:ascii="Times New Roman" w:hAnsi="Times New Roman"/>
                <w:sz w:val="28"/>
              </w:rPr>
              <w:t xml:space="preserve"> заявителю документ, являющийся результатом предоставления муниципальной услуги, </w:t>
            </w:r>
            <w:r>
              <w:rPr>
                <w:rFonts w:ascii="Times New Roman" w:hAnsi="Times New Roman"/>
                <w:sz w:val="28"/>
              </w:rPr>
              <w:t xml:space="preserve">заказным письмом с приложением представленных </w:t>
            </w:r>
            <w:r>
              <w:rPr>
                <w:rFonts w:ascii="Times New Roman" w:hAnsi="Times New Roman"/>
                <w:sz w:val="28"/>
              </w:rPr>
              <w:t xml:space="preserve">им </w:t>
            </w:r>
            <w:r>
              <w:rPr>
                <w:rFonts w:ascii="Times New Roman" w:hAnsi="Times New Roman"/>
                <w:sz w:val="28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выдает</w:t>
            </w:r>
            <w:r>
              <w:rPr>
                <w:rFonts w:ascii="Times New Roman" w:hAnsi="Times New Roman"/>
                <w:sz w:val="28"/>
              </w:rPr>
              <w:t xml:space="preserve"> документ, являющийся результатом муниципальной услуги, при личном обращении заявителя в администрацию района города, при подтверждении личности заявителя, полномочий представителя (если обращается уполномоченный представитель).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 w:line="0" w:lineRule="atLeast"/>
              <w:ind w:firstLine="601"/>
              <w:contextualSpacing w:val="tru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заявителя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муниципальной услуги независимо от выбранного заявителем способа получения (либо отсутствия указания в заявлении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его «Личный кабинет» на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Отметка об информировании заявителя о готовности документа, являющегося результатом муниципальной услуги, о его направлении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8"/>
              </w:rPr>
              <w:t xml:space="preserve">, электронной почты, почтового отправления или выдаче заявителю лично проставляется ответственным специалистом в регистрационном журнале.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3.5.3. 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6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3.5.4. Срок административной процедуры – три рабочих дня со дня подписания документа, являющегося результатом предоставления муниципальной услуги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360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Bdr/>
              <w:spacing w:line="220" w:lineRule="atLeast"/>
              <w:ind w:firstLine="2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IV. Формы контроля за исполнением административного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548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Порядок осуществления текущего контроля за соблюдением и исполнением ответственными должностными лицами положений </w:t>
            </w:r>
            <w:r>
              <w:rPr>
                <w:rFonts w:ascii="Times New Roman" w:hAnsi="Times New Roman"/>
                <w:sz w:val="28"/>
              </w:rPr>
              <w:t xml:space="preserve">Р</w:t>
            </w:r>
            <w:r>
              <w:rPr>
                <w:rFonts w:ascii="Times New Roman" w:hAnsi="Times New Roman"/>
                <w:sz w:val="28"/>
              </w:rPr>
              <w:t xml:space="preserve">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/>
              <w:jc w:val="both"/>
              <w:outlineLvl w:val="2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1.1. Текущий контроль за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выполнением Регламента осуществляется должностными лицами администрации района города, ответственными за организацию работы по предоставлению муниципальной услуги (далее – должностные лица, ответственные за организацию предоставления муниципальной услуги).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1.2. Текущий контр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оль осуществляется путем проведения должностными лицами, ответственными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1.3. Проверки могут быть плановыми (осуществляться на основании ежегодных планов) и внеплановыми.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1.4. 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/>
              <w:jc w:val="both"/>
              <w:outlineLvl w:val="2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2. Порядок и периодичность осуществления плановых и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2.1. Контроль за полнотой и качеством предоставления муниципальной услуги включает в себя проведение проверок, выявление и устранение нарушений.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2.2. Для проведения проверки полноты и качества предоставления муниципальной услуги главой администрации района города формируется комиссия. Положение о комиссии и ее состав утверждаются главой администрации района города.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2.3. Результаты деятельности комиссии оформляются протоколом, в котором отмечаются выявленные недостатки и предложения по их устранению.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2.4. Периодичность осуществления контроля устанавливается главой администрации района города.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193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/>
              <w:jc w:val="both"/>
              <w:outlineLvl w:val="2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3.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3.1. 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3.2. 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 Российской Федерации.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tabs>
                <w:tab w:val="left" w:leader="none" w:pos="-5670"/>
              </w:tabs>
              <w:spacing w:line="240" w:lineRule="auto"/>
              <w:ind w:firstLine="709"/>
              <w:jc w:val="both"/>
              <w:outlineLvl w:val="0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70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/>
              <w:jc w:val="both"/>
              <w:outlineLvl w:val="2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4.1. Тр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Эффективность осуществления контроля за предоставлением муниципальной услуги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Должная тщательность лиц, осуществляющих контроль за предоставлением муниципальной услуги, состоит в добросовестном и точном исполнении обязанностей, предусмотренных настоящим разделом Регламента.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4.2. Ежеквартально должностным лицом, ответстве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нным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pBdr/>
              <w:spacing w:line="240" w:lineRule="auto"/>
              <w:ind w:firstLine="598"/>
              <w:jc w:val="both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4.3. 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keepNext w:val="true"/>
              <w:pBdr/>
              <w:spacing w:line="240" w:lineRule="auto"/>
              <w:ind w:firstLine="598"/>
              <w:contextualSpacing w:val="true"/>
              <w:jc w:val="both"/>
              <w:outlineLvl w:val="0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Граждане, их объединения и организации вправе информировать администрацию района города о качестве и полноте ее предоставления,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результатах осуществления контроля за </w:t>
            </w:r>
            <w:bookmarkStart w:id="12" w:name="_GoBack"/>
            <w:r/>
            <w:bookmarkEnd w:id="12"/>
            <w:r>
              <w:rPr>
                <w:rStyle w:val="714"/>
                <w:rFonts w:ascii="Times New Roman" w:hAnsi="Times New Roman"/>
                <w:sz w:val="28"/>
              </w:rPr>
              <w:t xml:space="preserve">предоставлением муниципальной услуги.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360"/>
        </w:trPr>
        <w:tc>
          <w:tcPr>
            <w:gridSpan w:val="2"/>
            <w:tcBorders/>
            <w:tcW w:w="9067" w:type="dxa"/>
            <w:textDirection w:val="lrTb"/>
            <w:noWrap w:val="false"/>
          </w:tcPr>
          <w:p>
            <w:pPr>
              <w:pBdr/>
              <w:spacing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лиц, муниципальных служащих,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448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Способы информирования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заявителей 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порядке досудебного (внесудебного) обжалования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Style w:val="715"/>
              <w:keepNext w:val="true"/>
              <w:pBdr/>
              <w:spacing w:line="240" w:lineRule="auto"/>
              <w:ind w:firstLine="598"/>
              <w:contextualSpacing w:val="true"/>
              <w:jc w:val="both"/>
              <w:outlineLvl w:val="0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1.1.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Заявитель имеет право на получение информации и документов,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города.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  <w:p>
            <w:pPr>
              <w:pStyle w:val="715"/>
              <w:keepNext w:val="true"/>
              <w:pBdr/>
              <w:spacing w:line="240" w:lineRule="auto"/>
              <w:ind w:firstLine="598"/>
              <w:contextualSpacing w:val="true"/>
              <w:jc w:val="both"/>
              <w:outlineLvl w:val="0"/>
              <w:rPr>
                <w:rStyle w:val="714"/>
                <w:rFonts w:ascii="Times New Roman" w:hAnsi="Times New Roman"/>
                <w:sz w:val="28"/>
              </w:rPr>
            </w:pPr>
            <w:r>
              <w:rPr>
                <w:rStyle w:val="714"/>
                <w:rFonts w:ascii="Times New Roman" w:hAnsi="Times New Roman"/>
                <w:sz w:val="28"/>
              </w:rPr>
              <w:t xml:space="preserve">Информация о порядке подачи и рассмотрения жалобы на решение уполномоченного органа размещается на сайте города, на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информационных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стендах в местах предоставления муниципальной услуги, предоставляется заявителям должностными лицами и муниципальными служащими органов местного самоуправления, предоставляющих муниципальную услугу, в порядке, предусмотренном подразделом 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14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раздела </w:t>
            </w:r>
            <w:r>
              <w:rPr>
                <w:rStyle w:val="714"/>
                <w:rFonts w:ascii="Times New Roman" w:hAnsi="Times New Roman"/>
                <w:sz w:val="28"/>
                <w:lang w:val="en-US"/>
              </w:rPr>
              <w:t xml:space="preserve">II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 Регламента для информирования о пред</w:t>
            </w:r>
            <w:r>
              <w:rPr>
                <w:rStyle w:val="714"/>
                <w:rFonts w:ascii="Times New Roman" w:hAnsi="Times New Roman"/>
                <w:sz w:val="28"/>
              </w:rPr>
              <w:t xml:space="preserve">оставлении муниципальной услуги. </w:t>
            </w:r>
            <w:r>
              <w:rPr>
                <w:rStyle w:val="714"/>
                <w:rFonts w:ascii="Times New Roman" w:hAnsi="Times New Roman"/>
                <w:sz w:val="28"/>
              </w:rPr>
            </w:r>
          </w:p>
        </w:tc>
      </w:tr>
      <w:tr>
        <w:trPr>
          <w:jc w:val="center"/>
          <w:trHeight w:val="247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Формы и способы подачи заявителями жалобы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/>
            <w:tcW w:w="6378" w:type="dxa"/>
            <w:textDirection w:val="lrTb"/>
            <w:noWrap w:val="false"/>
          </w:tcPr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 Заявитель имеет право подать жалобу на решение и (или) действие (бездействие) администрации района, а также </w:t>
            </w:r>
            <w:r>
              <w:rPr>
                <w:rFonts w:ascii="Times New Roman" w:hAnsi="Times New Roman"/>
                <w:sz w:val="28"/>
              </w:rPr>
              <w:t xml:space="preserve">ее</w:t>
            </w:r>
            <w:r>
              <w:rPr>
                <w:rFonts w:ascii="Times New Roman" w:hAnsi="Times New Roman"/>
                <w:sz w:val="28"/>
              </w:rPr>
              <w:t xml:space="preserve"> должностных лиц и муниципальных служащих, участвующих в предоставлении муниципальной услуги (далее – жалоба) в соответствии с законодательством Российской Федерации.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 Жалоба на решения и (или) действия (бездействие) органа местного самоуправления, предоставляющего муниципальную услугу, должностных лиц органа местного самоуправления, предоставляющего муниципальную услугу, либо муниципальных служащих пр</w:t>
            </w:r>
            <w:r>
              <w:rPr>
                <w:rFonts w:ascii="Times New Roman" w:hAnsi="Times New Roman"/>
                <w:sz w:val="28"/>
              </w:rPr>
              <w:t xml:space="preserve">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может </w:t>
            </w:r>
            <w:r>
              <w:rPr>
                <w:rFonts w:ascii="Times New Roman" w:hAnsi="Times New Roman"/>
                <w:sz w:val="28"/>
              </w:rPr>
              <w:t xml:space="preserve">быть подана такими лицами в порядке, установленном статьей 11.2 Федерального закона от 27.07.2010 №210-ФЗ, либо в порядке, установленном антимонопольным законодательством Российской Федерации, в антимонопольный орган.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 Заявитель может обжаловать решения и (или) действия (бездействие):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2.3.1. Должностных лиц и муниципальных служащих администрации района, участвующих в предоставлении муниципальной услуги, главе администрации района;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2.3.2. Главы администрации района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в администрацию города Барнаула.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2.4. Контактные данные для подачи жалобы, а также сведения о времени и месте приема жалоб размещены на сайте города, сайте администрации района </w:t>
            </w:r>
            <w:r>
              <w:rPr>
                <w:rFonts w:ascii="Times New Roman" w:hAnsi="Times New Roman"/>
                <w:sz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</w:rPr>
              <w:t xml:space="preserve">и приведены в приложении </w:t>
            </w:r>
            <w:r>
              <w:rPr>
                <w:rFonts w:ascii="Times New Roman" w:hAnsi="Times New Roman"/>
                <w:sz w:val="28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 Регламенту.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 Заявитель может обратиться с жалобой в следующих случаях: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2.5.1. Нарушения срока регистрации уведомления;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2.5.2. Нарушения срока предоставления муниципальной услуги;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2.5.3. Требования у заявителя документов или информации либо осуществле</w:t>
            </w:r>
            <w:r>
              <w:rPr>
                <w:rFonts w:ascii="Times New Roman" w:hAnsi="Times New Roman"/>
                <w:sz w:val="28"/>
              </w:rPr>
              <w:t xml:space="preserve">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2.5.5. Отказа в предоставлении муниципальной услуги, если основания отказа не предусмотрены федеральными законами и </w:t>
            </w:r>
            <w:r>
              <w:rPr>
                <w:rFonts w:ascii="Times New Roman" w:hAnsi="Times New Roman"/>
                <w:sz w:val="28"/>
              </w:rPr>
              <w:t xml:space="preserve">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2.5.6.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2.5.7. Отказа органа, предоставляющего муниципальную услугу,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2.5.8. Нарушения срока или порядка выдачи документов по результатам предоставления муниципальной услуги;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2.5.9. Приостановления предоставления муниципальной услуги, ес</w:t>
            </w:r>
            <w:r>
              <w:rPr>
                <w:rFonts w:ascii="Times New Roman" w:hAnsi="Times New Roman"/>
                <w:sz w:val="28"/>
              </w:rPr>
              <w:t xml:space="preserve">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2.5.10. Требования у заявителя при предоставлении муниципальной услуги док</w:t>
            </w:r>
            <w:r>
              <w:rPr>
                <w:rFonts w:ascii="Times New Roman" w:hAnsi="Times New Roman"/>
                <w:sz w:val="28"/>
              </w:rPr>
              <w:t xml:space="preserve">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№210-ФЗ.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2.6. Заявитель в своей жалобе указывает: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2.6.1. Наименование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</w:t>
            </w:r>
            <w:r>
              <w:rPr>
                <w:rFonts w:ascii="Times New Roman" w:hAnsi="Times New Roman"/>
                <w:sz w:val="28"/>
              </w:rPr>
              <w:t xml:space="preserve">служащего органа местного самоуправления, предоставляющего муниципальную услугу, решения и действия (бездействие) которых обжалуются;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2.6.2. Фамилию, имя, отчество (последнее – при наличии), сведения о месте жительства за</w:t>
            </w:r>
            <w:r>
              <w:rPr>
                <w:rFonts w:ascii="Times New Roman" w:hAnsi="Times New Roman"/>
                <w:sz w:val="28"/>
              </w:rPr>
              <w:t xml:space="preserve">явителя – физического лица либо наименование, сведения о месте нахождения заявителя –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2.6.3.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органа, предоставляющего муниципальную услугу;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2.6.4. Доводы, на основании которых заявитель не согласен с решением и действием (бездей</w:t>
            </w:r>
            <w:r>
              <w:rPr>
                <w:rFonts w:ascii="Times New Roman" w:hAnsi="Times New Roman"/>
                <w:sz w:val="28"/>
              </w:rPr>
              <w:t xml:space="preserve">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 органа, предоставляющего муниципальную услугу. Заявителем могут быть предоставлены документы (при наличии)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подтверждающие доводы заявителя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либо их копии.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2.7. Жалоба может быть направлена (подана) в орган местного самоуправления города Барнаула и (или) должностному лицу, уполномоченный (уполномоченному) на рассмотрение жалобы, в письменной форме на бумажном носителе, в электронной форме.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2.8. Жалоба может быть в электронной форме направлена по эл</w:t>
            </w:r>
            <w:r>
              <w:rPr>
                <w:rFonts w:ascii="Times New Roman" w:hAnsi="Times New Roman"/>
                <w:sz w:val="28"/>
              </w:rPr>
              <w:t xml:space="preserve">ектронной почте, подана посредством портала досудебного обжалования (адрес в сети Интернет – http://do.gosuslugi.ru/), в письменной форме на бумажном носителе направлена по почте, подана в ходе личного приема в орган, предоставляющий муниципальную услугу, </w:t>
            </w:r>
            <w:r>
              <w:rPr>
                <w:rFonts w:ascii="Times New Roman" w:hAnsi="Times New Roman"/>
                <w:sz w:val="28"/>
              </w:rPr>
              <w:t xml:space="preserve">и (или) должностному лицу, уполномоченному на рассмотрение жалобы.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2.9. Срок рассмотрения жалобы, включая направление заявителю ответа по результатам рассмотрения жалобы, не должен превышать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15 рабочих дней со дня ее регистрации.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2.10. В случае обжалования отказа органа, предоставляющего муниципальную услугу, его должностного лица или муниципального служаще</w:t>
            </w:r>
            <w:r>
              <w:rPr>
                <w:rFonts w:ascii="Times New Roman" w:hAnsi="Times New Roman"/>
                <w:sz w:val="28"/>
              </w:rPr>
              <w:t xml:space="preserve">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2.11. По результатам рассмотрения жалобы должностным лицом, уполномоченным на рассмотрение жалобы, принимается одно из следующих решений: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2.11.1. Жалоба удовлетворяется, в том числе в форме отмены принятого решения, исправления допущенных администрацией района опечаток и ошибок в выданных в резул</w:t>
            </w:r>
            <w:r>
              <w:rPr>
                <w:rFonts w:ascii="Times New Roman" w:hAnsi="Times New Roman"/>
                <w:sz w:val="28"/>
              </w:rPr>
              <w:t xml:space="preserve">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2.11.2. В удовлетворении жалобы отказывается в следующих случаях: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наличия</w:t>
            </w:r>
            <w:r>
              <w:rPr>
                <w:rFonts w:ascii="Times New Roman" w:hAnsi="Times New Roman"/>
                <w:sz w:val="28"/>
              </w:rPr>
              <w:t xml:space="preserve"> вступившего в законную силу решения суда, арбитражного суда по жалобе о том же предмете и по тем же основаниям;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подачи</w:t>
            </w:r>
            <w:r>
              <w:rPr>
                <w:rFonts w:ascii="Times New Roman" w:hAnsi="Times New Roman"/>
                <w:sz w:val="28"/>
              </w:rPr>
              <w:t xml:space="preserve"> жалобы лицом, полномочия которого не подтверждены в порядке, установленном законодательством Российской Федерации;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наличия</w:t>
            </w:r>
            <w:r>
              <w:rPr>
                <w:rFonts w:ascii="Times New Roman" w:hAnsi="Times New Roman"/>
                <w:sz w:val="28"/>
              </w:rPr>
              <w:t xml:space="preserve"> решения по жалобе, принятого ранее в соответствии с требованиями Регламента в отношении того же заявителя и по тому же предмету жалобы.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2.12. В ответе по результатам рассмотрения жалобы указываются: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2.12.1. Фамилия, имя, отчество (последнее – при наличии), должность должностного лица, наименование органа местного самоуправления, принявшего решение по жалобе;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2.12.2. Номер, дата, место принятия решения, сведения об органе местного самоуправления города Барнаула, о должностном лице или муниципальном служащем, решение или действие (бездействие) которого обжалуется;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2.12.3. Фамилия, имя, отчество (последнее – при наличии) или наименование заявителя;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2.12.4. Основания для принятия решения по жалобе;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2.12.5. Принятое по жалобе решение;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2.12.6. Сведения о порядке обжалования принятого по жалобе решения.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2.13. В случае установления в ходе или по р</w:t>
            </w:r>
            <w:r>
              <w:rPr>
                <w:rFonts w:ascii="Times New Roman" w:hAnsi="Times New Roman"/>
                <w:sz w:val="28"/>
              </w:rPr>
              <w:t xml:space="preserve">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жалоб, незамедлительно направляет соответствующие материалы в органы прокуратуры.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2.14. Администрация района при получении жалобы, в которой содержатся нецензурные либо оскорбит</w:t>
            </w:r>
            <w:r>
              <w:rPr>
                <w:rFonts w:ascii="Times New Roman" w:hAnsi="Times New Roman"/>
                <w:sz w:val="28"/>
              </w:rPr>
              <w:t xml:space="preserve">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о недопустимости злоупотребления правом.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случае, если текст жалобы не поддается прочтению, ответ на жалобу не дается, и она не подлежит</w:t>
            </w:r>
            <w:r>
              <w:rPr>
                <w:rFonts w:ascii="Times New Roman" w:hAnsi="Times New Roman"/>
                <w:sz w:val="28"/>
              </w:rPr>
              <w:t xml:space="preserve">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2.15. Не позднее дня, следующего за днем принятия решения, предусмотренного в пункте 2.11 </w:t>
            </w:r>
            <w:r>
              <w:rPr>
                <w:rFonts w:ascii="Times New Roman" w:hAnsi="Times New Roman"/>
                <w:sz w:val="28"/>
              </w:rPr>
              <w:t xml:space="preserve">настоящего подраздела Регламента, заявителю в письменной форме и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по желанию заявителя</w:t>
            </w:r>
            <w:r>
              <w:rPr>
                <w:rFonts w:ascii="Times New Roman" w:hAnsi="Times New Roman"/>
                <w:sz w:val="28"/>
              </w:rPr>
              <w:t xml:space="preserve">,</w:t>
            </w:r>
            <w:r>
              <w:rPr>
                <w:rFonts w:ascii="Times New Roman" w:hAnsi="Times New Roman"/>
                <w:sz w:val="28"/>
              </w:rPr>
              <w:t xml:space="preserve"> в электронной форме направляется мотивированный ответ о результатах рассмотрения жалобы.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2.16. В случае признания жалобы подлежащей удовлетворению в ответе заявителю, указанном в пункте 2.15 настоящего подраздела Регламента, дается информация о действиях, осуществляемых администрацией района </w:t>
            </w:r>
            <w:r>
              <w:rPr>
                <w:rFonts w:ascii="Times New Roman" w:hAnsi="Times New Roman"/>
                <w:sz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</w:rPr>
              <w:t xml:space="preserve">в целях незамедлител</w:t>
            </w:r>
            <w:r>
              <w:rPr>
                <w:rFonts w:ascii="Times New Roman" w:hAnsi="Times New Roman"/>
                <w:sz w:val="28"/>
              </w:rPr>
      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2.17. В с</w:t>
            </w:r>
            <w:r>
              <w:rPr>
                <w:rFonts w:ascii="Times New Roman" w:hAnsi="Times New Roman"/>
                <w:sz w:val="28"/>
              </w:rPr>
              <w:t xml:space="preserve">лучае признания жалобы не подлежащей удовлетворению в ответе заявителю, указанном в пункте 2.15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Bdr/>
              <w:spacing/>
              <w:ind w:firstLine="5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2.18. Заявитель имеет право обжаловать решение должностных лиц, уполномоченных на рассмотрение жалобы, главе города Барнаула в досудебном (внесудебном) порядке.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851" w:bottom="1134" w:left="1985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71990730"/>
      <w:docPartObj>
        <w:docPartGallery w:val="Page Numbers (Top of Page)"/>
        <w:docPartUnique w:val="true"/>
      </w:docPartObj>
      <w:rPr/>
    </w:sdtPr>
    <w:sdtContent>
      <w:p>
        <w:pPr>
          <w:pStyle w:val="699"/>
          <w:pBdr/>
          <w:spacing/>
          <w:ind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36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69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Roman"/>
      <w:pPr>
        <w:pBdr/>
        <w:spacing/>
        <w:ind w:hanging="720" w:left="12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upperRoman"/>
      <w:pPr>
        <w:pBdr/>
        <w:spacing/>
        <w:ind w:hanging="720" w:left="19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3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2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9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3"/>
    <w:next w:val="69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3"/>
    <w:basedOn w:val="693"/>
    <w:next w:val="69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3"/>
    <w:next w:val="69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3"/>
    <w:next w:val="69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3"/>
    <w:next w:val="69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3"/>
    <w:next w:val="69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3"/>
    <w:next w:val="69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3"/>
    <w:next w:val="69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5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3"/>
    <w:next w:val="69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3"/>
    <w:next w:val="69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3"/>
    <w:next w:val="69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3"/>
    <w:next w:val="69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5"/>
    <w:link w:val="699"/>
    <w:uiPriority w:val="99"/>
    <w:pPr>
      <w:pBdr/>
      <w:spacing/>
      <w:ind/>
    </w:pPr>
  </w:style>
  <w:style w:type="character" w:styleId="178">
    <w:name w:val="Footer Char"/>
    <w:basedOn w:val="695"/>
    <w:link w:val="701"/>
    <w:uiPriority w:val="99"/>
    <w:pPr>
      <w:pBdr/>
      <w:spacing/>
      <w:ind/>
    </w:pPr>
  </w:style>
  <w:style w:type="paragraph" w:styleId="179">
    <w:name w:val="Caption"/>
    <w:basedOn w:val="693"/>
    <w:next w:val="6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3"/>
    <w:next w:val="693"/>
    <w:uiPriority w:val="99"/>
    <w:unhideWhenUsed/>
    <w:pPr>
      <w:pBdr/>
      <w:spacing w:after="0" w:afterAutospacing="0"/>
      <w:ind/>
    </w:pPr>
  </w:style>
  <w:style w:type="paragraph" w:styleId="693" w:default="1">
    <w:name w:val="Normal"/>
    <w:qFormat/>
    <w:pPr>
      <w:pBdr/>
      <w:spacing/>
      <w:ind/>
    </w:pPr>
  </w:style>
  <w:style w:type="paragraph" w:styleId="694">
    <w:name w:val="Heading 2"/>
    <w:basedOn w:val="693"/>
    <w:link w:val="711"/>
    <w:qFormat/>
    <w:pPr>
      <w:pBdr/>
      <w:spacing w:after="0" w:line="240" w:lineRule="auto"/>
      <w:ind/>
      <w:outlineLvl w:val="1"/>
    </w:pPr>
    <w:rPr>
      <w:rFonts w:ascii="Times New Roman" w:hAnsi="Times New Roman" w:eastAsia="Times New Roman" w:cs="Times New Roman"/>
      <w:b/>
      <w:bCs/>
      <w:color w:val="007557"/>
      <w:sz w:val="24"/>
      <w:szCs w:val="24"/>
      <w:lang w:eastAsia="ru-RU"/>
    </w:rPr>
  </w:style>
  <w:style w:type="character" w:styleId="695" w:default="1">
    <w:name w:val="Default Paragraph Font"/>
    <w:uiPriority w:val="1"/>
    <w:semiHidden/>
    <w:unhideWhenUsed/>
    <w:pPr>
      <w:pBdr/>
      <w:spacing/>
      <w:ind/>
    </w:pPr>
  </w:style>
  <w:style w:type="table" w:styleId="6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7" w:default="1">
    <w:name w:val="No List"/>
    <w:uiPriority w:val="99"/>
    <w:semiHidden/>
    <w:unhideWhenUsed/>
    <w:pPr>
      <w:pBdr/>
      <w:spacing/>
      <w:ind/>
    </w:pPr>
  </w:style>
  <w:style w:type="table" w:styleId="698">
    <w:name w:val="Table Grid"/>
    <w:basedOn w:val="696"/>
    <w:uiPriority w:val="3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9">
    <w:name w:val="Header"/>
    <w:basedOn w:val="693"/>
    <w:link w:val="70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0" w:customStyle="1">
    <w:name w:val="Верхний колонтитул Знак"/>
    <w:basedOn w:val="695"/>
    <w:link w:val="699"/>
    <w:uiPriority w:val="99"/>
    <w:pPr>
      <w:pBdr/>
      <w:spacing/>
      <w:ind/>
    </w:pPr>
  </w:style>
  <w:style w:type="paragraph" w:styleId="701">
    <w:name w:val="Footer"/>
    <w:basedOn w:val="693"/>
    <w:link w:val="70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02" w:customStyle="1">
    <w:name w:val="Нижний колонтитул Знак"/>
    <w:basedOn w:val="695"/>
    <w:link w:val="701"/>
    <w:uiPriority w:val="99"/>
    <w:pPr>
      <w:pBdr/>
      <w:spacing/>
      <w:ind/>
    </w:pPr>
  </w:style>
  <w:style w:type="paragraph" w:styleId="703">
    <w:name w:val="annotation text"/>
    <w:basedOn w:val="693"/>
    <w:link w:val="704"/>
    <w:uiPriority w:val="99"/>
    <w:unhideWhenUsed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character" w:styleId="704" w:customStyle="1">
    <w:name w:val="Текст примечания Знак"/>
    <w:basedOn w:val="695"/>
    <w:link w:val="703"/>
    <w:uiPriority w:val="99"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paragraph" w:styleId="705">
    <w:name w:val="List Paragraph"/>
    <w:basedOn w:val="693"/>
    <w:uiPriority w:val="34"/>
    <w:qFormat/>
    <w:pPr>
      <w:pBdr/>
      <w:spacing/>
      <w:ind w:left="720"/>
      <w:contextualSpacing w:val="true"/>
    </w:pPr>
  </w:style>
  <w:style w:type="character" w:styleId="706">
    <w:name w:val="annotation reference"/>
    <w:basedOn w:val="695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07">
    <w:name w:val="annotation subject"/>
    <w:basedOn w:val="703"/>
    <w:next w:val="703"/>
    <w:link w:val="708"/>
    <w:uiPriority w:val="99"/>
    <w:semiHidden/>
    <w:unhideWhenUsed/>
    <w:pPr>
      <w:pBdr/>
      <w:spacing w:line="240" w:lineRule="auto"/>
      <w:ind/>
    </w:pPr>
    <w:rPr>
      <w:rFonts w:asciiTheme="minorHAnsi" w:hAnsiTheme="minorHAnsi" w:eastAsiaTheme="minorHAnsi" w:cstheme="minorBidi"/>
      <w:b/>
      <w:bCs/>
    </w:rPr>
  </w:style>
  <w:style w:type="character" w:styleId="708" w:customStyle="1">
    <w:name w:val="Тема примечания Знак"/>
    <w:basedOn w:val="704"/>
    <w:link w:val="707"/>
    <w:uiPriority w:val="99"/>
    <w:semiHidden/>
    <w:pPr>
      <w:pBdr/>
      <w:spacing/>
      <w:ind/>
    </w:pPr>
    <w:rPr>
      <w:rFonts w:ascii="Calibri" w:hAnsi="Calibri" w:eastAsia="Calibri" w:cs="Times New Roman"/>
      <w:b/>
      <w:bCs/>
      <w:sz w:val="20"/>
      <w:szCs w:val="20"/>
    </w:rPr>
  </w:style>
  <w:style w:type="paragraph" w:styleId="709">
    <w:name w:val="Balloon Text"/>
    <w:basedOn w:val="693"/>
    <w:link w:val="71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10" w:customStyle="1">
    <w:name w:val="Текст выноски Знак"/>
    <w:basedOn w:val="695"/>
    <w:link w:val="70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11" w:customStyle="1">
    <w:name w:val="Заголовок 2 Знак"/>
    <w:basedOn w:val="695"/>
    <w:link w:val="694"/>
    <w:pPr>
      <w:pBdr/>
      <w:spacing/>
      <w:ind/>
    </w:pPr>
    <w:rPr>
      <w:rFonts w:ascii="Times New Roman" w:hAnsi="Times New Roman" w:eastAsia="Times New Roman" w:cs="Times New Roman"/>
      <w:b/>
      <w:bCs/>
      <w:color w:val="007557"/>
      <w:sz w:val="24"/>
      <w:szCs w:val="24"/>
      <w:lang w:eastAsia="ru-RU"/>
    </w:rPr>
  </w:style>
  <w:style w:type="paragraph" w:styleId="712" w:customStyle="1">
    <w:name w:val="ConsPlusCell"/>
    <w:pPr>
      <w:pBdr/>
      <w:spacing w:after="0" w:line="240" w:lineRule="auto"/>
      <w:ind/>
    </w:pPr>
    <w:rPr>
      <w:rFonts w:ascii="Arial" w:hAnsi="Arial" w:eastAsia="Times New Roman" w:cs="Arial"/>
      <w:sz w:val="20"/>
      <w:szCs w:val="20"/>
      <w:lang w:eastAsia="ru-RU"/>
    </w:rPr>
  </w:style>
  <w:style w:type="paragraph" w:styleId="713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Times New Roman"/>
      <w:szCs w:val="20"/>
      <w:lang w:eastAsia="ru-RU"/>
    </w:rPr>
  </w:style>
  <w:style w:type="character" w:styleId="714" w:customStyle="1">
    <w:name w:val="Основной шрифт абзаца1"/>
    <w:pPr>
      <w:pBdr/>
      <w:spacing/>
      <w:ind/>
    </w:pPr>
  </w:style>
  <w:style w:type="paragraph" w:styleId="715" w:customStyle="1">
    <w:name w:val="Обычный1"/>
    <w:qFormat/>
    <w:pPr>
      <w:pBdr/>
      <w:spacing w:line="258" w:lineRule="auto"/>
      <w:ind/>
    </w:pPr>
    <w:rPr>
      <w:rFonts w:ascii="Calibri" w:hAnsi="Calibri" w:eastAsia="Times New Roman" w:cs="Times New Roman"/>
      <w:szCs w:val="20"/>
      <w:lang w:eastAsia="ru-RU"/>
    </w:rPr>
  </w:style>
  <w:style w:type="character" w:styleId="716" w:customStyle="1">
    <w:name w:val="Гиперссылка1"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garantF1://12077515.0" TargetMode="External"/><Relationship Id="rId12" Type="http://schemas.openxmlformats.org/officeDocument/2006/relationships/hyperlink" Target="consultantplus://offline/ref=9410DED04B84A73D42079FCF7B22771773DFB4F0E0B7E14CB86F772E17k8TFF" TargetMode="External"/><Relationship Id="rId13" Type="http://schemas.openxmlformats.org/officeDocument/2006/relationships/hyperlink" Target="consultantplus://offline/ref=9410DED04B84A73D420781D46E22771770D6B0F2EBB8E14CB86F772E178F4A8AD36FF6F62976F390k0T8F" TargetMode="External"/><Relationship Id="rId14" Type="http://schemas.openxmlformats.org/officeDocument/2006/relationships/hyperlink" Target="consultantplus://offline/ref=9410DED04B84A73D420781D46E22771770D6B0F2EBB8E14CB86F772E178F4A8AD36FF6F62976F392k0T2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C130-8082-420E-9A03-C6DC06F5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Лазарева</dc:creator>
  <cp:keywords/>
  <dc:description/>
  <cp:revision>149</cp:revision>
  <dcterms:created xsi:type="dcterms:W3CDTF">2021-09-21T05:18:00Z</dcterms:created>
  <dcterms:modified xsi:type="dcterms:W3CDTF">2024-08-29T03:36:57Z</dcterms:modified>
</cp:coreProperties>
</file>