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</w:t>
      </w:r>
      <w:r>
        <w:rPr>
          <w:sz w:val="28"/>
          <w:szCs w:val="28"/>
        </w:rPr>
      </w:r>
    </w:p>
    <w:p>
      <w:pPr>
        <w:pStyle w:val="679"/>
        <w:ind w:left="5670"/>
        <w:jc w:val="lef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28.11.2024 </w:t>
      </w:r>
      <w:r>
        <w:rPr>
          <w:sz w:val="28"/>
          <w:szCs w:val="28"/>
        </w:rPr>
        <w:t xml:space="preserve">№857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9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ind w:left="567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поступлений доходов в бюджет города Барнаула</w:t>
      </w:r>
      <w:r>
        <w:rPr>
          <w:rFonts w:ascii="Times New Roman" w:hAnsi="Times New Roman"/>
          <w:sz w:val="28"/>
          <w:szCs w:val="28"/>
        </w:rPr>
        <w:t xml:space="preserve">, главным администратором которых является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города Барнаула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Общие положения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Мет</w:t>
      </w:r>
      <w:r>
        <w:rPr>
          <w:rFonts w:ascii="Times New Roman" w:hAnsi="Times New Roman" w:cs="Times New Roman"/>
          <w:sz w:val="28"/>
          <w:szCs w:val="28"/>
        </w:rPr>
        <w:t xml:space="preserve">одика </w:t>
      </w:r>
      <w:r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города Барнаула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района)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Методика)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ать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23.06.2016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574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методике прогнозирования поступлений доходов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Методика разработана в целях повышения объективности прогнозирования доходов бюджета города Барнаула по администрации района по </w:t>
      </w:r>
      <w:r>
        <w:rPr>
          <w:rFonts w:ascii="Times New Roman" w:hAnsi="Times New Roman" w:cs="Times New Roman"/>
          <w:sz w:val="28"/>
          <w:szCs w:val="28"/>
        </w:rPr>
        <w:t xml:space="preserve">всем</w:t>
      </w:r>
      <w:r>
        <w:rPr>
          <w:rFonts w:ascii="Times New Roman" w:hAnsi="Times New Roman" w:cs="Times New Roman"/>
          <w:sz w:val="28"/>
          <w:szCs w:val="28"/>
        </w:rPr>
        <w:t xml:space="preserve"> видам</w:t>
      </w:r>
      <w:r>
        <w:rPr>
          <w:rFonts w:ascii="Times New Roman" w:hAnsi="Times New Roman" w:cs="Times New Roman"/>
          <w:sz w:val="28"/>
          <w:szCs w:val="28"/>
        </w:rPr>
        <w:t xml:space="preserve"> неналоговых доходов.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Методика распространяется на доход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главным администратором которых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 города Барнаула от 17.11.2021 № 1716 «Об утверждении перечней главных администраторов доходов и источников финансирования дефицита бюджета города»</w:t>
      </w:r>
      <w:r>
        <w:rPr>
          <w:rFonts w:ascii="Times New Roman" w:hAnsi="Times New Roman"/>
          <w:sz w:val="28"/>
          <w:szCs w:val="28"/>
        </w:rPr>
        <w:t xml:space="preserve">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>
        <w:rPr>
          <w:rFonts w:ascii="Times New Roman" w:hAnsi="Times New Roman"/>
          <w:sz w:val="28"/>
          <w:szCs w:val="28"/>
        </w:rPr>
        <w:t xml:space="preserve">(далее – доходы)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  <w:tab/>
      </w:r>
      <w:r>
        <w:rPr>
          <w:rFonts w:ascii="Times New Roman" w:hAnsi="Times New Roman"/>
          <w:sz w:val="28"/>
          <w:szCs w:val="28"/>
        </w:rPr>
        <w:t xml:space="preserve">Методика определяет порядок исчисления прогнозного объема поступлений по каждому виду доходов, являющихся источниками доходов бюджета, администрируемых главным администратором доходов, методы расчет</w:t>
      </w:r>
      <w:r>
        <w:rPr>
          <w:rFonts w:ascii="Times New Roman" w:hAnsi="Times New Roman"/>
          <w:sz w:val="28"/>
          <w:szCs w:val="28"/>
        </w:rPr>
        <w:t xml:space="preserve">а прогнозного объема поступлений по каждому виду доходов, описание фактического алгоритма расчета (формулу) прогнозируемого объема поступлений по каждому виду доходов бюджета, нормативные правовые акты, являющиеся основанием для администрирования платежей.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</w:t>
        <w:tab/>
        <w:t xml:space="preserve">Методика разрабатывается на основе единых подходов к прогнозированию</w:t>
      </w:r>
      <w:r>
        <w:rPr>
          <w:rFonts w:ascii="Times New Roman" w:hAnsi="Times New Roman"/>
          <w:sz w:val="28"/>
          <w:szCs w:val="28"/>
        </w:rPr>
        <w:t xml:space="preserve">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 о фактических поступлениях доходов за истекшие месяцы этого года, в том числе увеличение или </w:t>
      </w:r>
      <w:r>
        <w:rPr>
          <w:rFonts w:ascii="Times New Roman" w:hAnsi="Times New Roman"/>
          <w:sz w:val="28"/>
          <w:szCs w:val="28"/>
        </w:rPr>
        <w:t xml:space="preserve">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значений.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  <w:tab/>
        <w:t xml:space="preserve">При прогнозировании администрируемых доходов применяются следующие методы прогнозирования: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прямой расчет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расчет, </w:t>
      </w:r>
      <w:r>
        <w:rPr>
          <w:rFonts w:ascii="Times New Roman" w:hAnsi="Times New Roman"/>
          <w:sz w:val="28"/>
          <w:szCs w:val="28"/>
        </w:rPr>
        <w:t xml:space="preserve">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</w:t>
      </w:r>
      <w:r>
        <w:rPr>
          <w:rFonts w:ascii="Times New Roman" w:hAnsi="Times New Roman"/>
          <w:sz w:val="28"/>
          <w:szCs w:val="28"/>
        </w:rPr>
        <w:t xml:space="preserve">, если он не превышает 3 года;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индексация - расчет с применением индекса потребительских цен или коэффициента</w:t>
      </w:r>
      <w:r>
        <w:rPr>
          <w:rFonts w:ascii="Times New Roman" w:hAnsi="Times New Roman"/>
          <w:sz w:val="28"/>
          <w:szCs w:val="28"/>
        </w:rPr>
        <w:t xml:space="preserve"> инфляции</w:t>
      </w:r>
      <w:r>
        <w:rPr>
          <w:rFonts w:ascii="Times New Roman" w:hAnsi="Times New Roman"/>
          <w:sz w:val="28"/>
          <w:szCs w:val="28"/>
        </w:rPr>
        <w:t xml:space="preserve">, характеризующего динамику прогнозируемого вида доходов бюджетов бюджетной системы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иной способ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способ, предусматривающий прогнозирование доход</w:t>
      </w:r>
      <w:r>
        <w:rPr>
          <w:rFonts w:ascii="Times New Roman" w:hAnsi="Times New Roman"/>
          <w:sz w:val="28"/>
          <w:szCs w:val="28"/>
        </w:rPr>
        <w:t xml:space="preserve">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Методика применяется при подготовке прогнозов доходов на очередной финансовый год и на плановый период, уточненного прогноза доходов на текущий финансовый год.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67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уточненного прогноза доходов на текущий финансовый год прогнозирование осуществляется с использованием: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данных о фактических поступлениях доходов за истекшие месяцы текущего года;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уточненных значений показателей, применяемых при прогнозировании доходов, с учетом их фактических значений за истекшие месяцы текущего года.</w:t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firstLine="709"/>
        <w:jc w:val="both"/>
        <w:widowControl w:val="off"/>
        <w:rPr>
          <w:rStyle w:val="700"/>
          <w:rFonts w:ascii="Times New Roman" w:hAnsi="Times New Roman"/>
          <w:color w:val="000000"/>
        </w:rPr>
      </w:pPr>
      <w:r>
        <w:rPr>
          <w:rStyle w:val="700"/>
          <w:rFonts w:ascii="Times New Roman" w:hAnsi="Times New Roman"/>
          <w:color w:val="000000"/>
        </w:rPr>
        <w:t xml:space="preserve">1.</w:t>
      </w:r>
      <w:r>
        <w:rPr>
          <w:rStyle w:val="700"/>
          <w:rFonts w:ascii="Times New Roman" w:hAnsi="Times New Roman"/>
          <w:color w:val="000000"/>
        </w:rPr>
        <w:t xml:space="preserve">7</w:t>
      </w:r>
      <w:r>
        <w:rPr>
          <w:rStyle w:val="700"/>
          <w:rFonts w:ascii="Times New Roman" w:hAnsi="Times New Roman"/>
          <w:color w:val="000000"/>
        </w:rPr>
        <w:t xml:space="preserve">.</w:t>
        <w:tab/>
        <w:t xml:space="preserve">Прогнозирование доходов осуществляется в рубл</w:t>
      </w:r>
      <w:r>
        <w:rPr>
          <w:rStyle w:val="700"/>
          <w:rFonts w:ascii="Times New Roman" w:hAnsi="Times New Roman"/>
          <w:color w:val="000000"/>
        </w:rPr>
        <w:t xml:space="preserve">я</w:t>
      </w:r>
      <w:r>
        <w:rPr>
          <w:rStyle w:val="700"/>
          <w:rFonts w:ascii="Times New Roman" w:hAnsi="Times New Roman"/>
          <w:color w:val="000000"/>
        </w:rPr>
        <w:t xml:space="preserve">х</w:t>
      </w:r>
      <w:r>
        <w:rPr>
          <w:rStyle w:val="700"/>
          <w:rFonts w:ascii="Times New Roman" w:hAnsi="Times New Roman"/>
          <w:color w:val="000000"/>
        </w:rPr>
        <w:t xml:space="preserve">. </w:t>
      </w:r>
      <w:r>
        <w:rPr>
          <w:rStyle w:val="700"/>
          <w:rFonts w:ascii="Times New Roman" w:hAnsi="Times New Roman"/>
          <w:color w:val="000000"/>
        </w:rPr>
      </w:r>
      <w:r>
        <w:rPr>
          <w:rStyle w:val="700"/>
          <w:rFonts w:ascii="Times New Roman" w:hAnsi="Times New Roman"/>
          <w:color w:val="000000"/>
        </w:rPr>
      </w:r>
    </w:p>
    <w:p>
      <w:pPr>
        <w:pStyle w:val="687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firstLine="709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Прогнозирование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видам </w:t>
      </w:r>
      <w:r>
        <w:rPr>
          <w:rFonts w:ascii="Times New Roman" w:hAnsi="Times New Roman" w:cs="Times New Roman"/>
          <w:sz w:val="28"/>
          <w:szCs w:val="28"/>
        </w:rPr>
        <w:t xml:space="preserve">доходов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ind w:firstLine="709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</w:t>
      </w:r>
      <w:r>
        <w:rPr>
          <w:rFonts w:ascii="Times New Roman" w:hAnsi="Times New Roman"/>
          <w:sz w:val="28"/>
          <w:szCs w:val="28"/>
        </w:rPr>
        <w:t xml:space="preserve"> Доходы подразделяются на прогнозируемые и непрогнозируемые, но фактически поступающие в доход бюджета города Барнаула.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В состав прогнозируемых </w:t>
      </w:r>
      <w:r>
        <w:rPr>
          <w:rFonts w:ascii="Times New Roman" w:hAnsi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/>
          <w:sz w:val="28"/>
          <w:szCs w:val="28"/>
        </w:rPr>
        <w:t xml:space="preserve"> неналоговых доходов бюджета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/>
          <w:sz w:val="28"/>
          <w:szCs w:val="28"/>
        </w:rPr>
        <w:t xml:space="preserve">, по которым составляются расчеты, включаются: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firstLine="709"/>
        <w:jc w:val="both"/>
        <w:widowControl w:val="off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оходы, получаемые в виде арендной платы </w:t>
      </w:r>
      <w:r>
        <w:rPr>
          <w:rFonts w:ascii="Times New Roman" w:hAnsi="Times New Roman" w:cs="Times New Roman"/>
          <w:sz w:val="28"/>
          <w:szCs w:val="28"/>
        </w:rPr>
        <w:t xml:space="preserve">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(код бюджетной классификации 99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111 05012 04 0000 12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лата, поступившая в рамках договора за предоставление права на размещение и эксплуатацию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(код бюджетной классификации 99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111 09080 04 0000 120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firstLine="71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(код бюджетной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116 02020 02 0000 140)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доходы поступающие в порядке возмещения расходов, понесенных в связи с эксплуатацией имущества городских округов (</w:t>
      </w:r>
      <w:r>
        <w:rPr>
          <w:rFonts w:ascii="Times New Roman" w:hAnsi="Times New Roman" w:cs="Times New Roman"/>
          <w:sz w:val="28"/>
          <w:szCs w:val="28"/>
        </w:rPr>
        <w:t xml:space="preserve">код бюджетной классификации</w:t>
      </w:r>
      <w:r>
        <w:rPr>
          <w:rFonts w:ascii="Times New Roman" w:hAnsi="Times New Roman"/>
          <w:sz w:val="28"/>
          <w:szCs w:val="28"/>
        </w:rPr>
        <w:t xml:space="preserve"> 993 113 02064 04 00001130);</w:t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рочие доходы от компенсации затрат бюджетов городских округов (возмещение расходов по демонтажу рекламных конструкций)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код бюджетной классификации</w:t>
      </w:r>
      <w:r>
        <w:rPr>
          <w:rFonts w:ascii="Times New Roman" w:hAnsi="Times New Roman"/>
          <w:sz w:val="28"/>
          <w:szCs w:val="28"/>
        </w:rPr>
        <w:t xml:space="preserve">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113 02994 04 0012 130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доходы от компенсации затрат бюджетов городских округов (иные возвраты и возмещения)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код бюджетной классификации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113 02994 04 0015 130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 xml:space="preserve">прочие поступления от использования имущества, находящегося в собственности городских округов (за и</w:t>
      </w:r>
      <w:r>
        <w:rPr>
          <w:rFonts w:ascii="Times New Roman" w:hAnsi="Times New Roman"/>
          <w:sz w:val="28"/>
          <w:szCs w:val="28"/>
        </w:rPr>
        <w:t xml:space="preserve">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(код бюджетной 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111 09044 04 0000 120);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 xml:space="preserve">административные штрафы, установленные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"consultantplus://offline/ref=9A38EB840D28FAB2A5F15481F67689FF0C50948F0408208E765F04EBBF950B2F8606EEB9A751D7B4B51E783C32BB6A8CF69BBA37FC487709I8i7C"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главой 7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(код бюджетной 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01074 01 0000 140);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штрафы, неустойки, пени, уплаченные в случае просрочки исполнения поставщиком (подрядчиком, исполнит</w:t>
      </w:r>
      <w:r>
        <w:rPr>
          <w:rFonts w:ascii="Times New Roman" w:hAnsi="Times New Roman"/>
          <w:sz w:val="28"/>
          <w:szCs w:val="28"/>
        </w:rPr>
        <w:t xml:space="preserve">елем) обязательств, предусмотренных муниципальным контрактом, заключенным муниципальным органом, казенным учреждением городского округа                 (за исключением муниципального контракта, финансируемого за счет средств муниципального дорожного фонда)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(код бюджетной 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07010 04 0007 140);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иные штрафы, неустойки, пени, уплаченные в соответствии с законом или договором в</w:t>
      </w:r>
      <w:r>
        <w:rPr>
          <w:rFonts w:ascii="Times New Roman" w:hAnsi="Times New Roman"/>
          <w:sz w:val="28"/>
          <w:szCs w:val="28"/>
        </w:rPr>
        <w:t xml:space="preserve">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 (код бюджетной 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07090 04 0002 140);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иные штрафы, неустойки, пени, уплаченные в соответствии с законом или договором в случае не</w:t>
      </w:r>
      <w:r>
        <w:rPr>
          <w:rFonts w:ascii="Times New Roman" w:hAnsi="Times New Roman"/>
          <w:sz w:val="28"/>
          <w:szCs w:val="28"/>
        </w:rPr>
        <w:t xml:space="preserve">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 (код бюджетной 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07090 04 0003 140);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иные штрафы, неустойки, пени, уплаченные в соответствии с законом или договор</w:t>
      </w:r>
      <w:r>
        <w:rPr>
          <w:rFonts w:ascii="Times New Roman" w:hAnsi="Times New Roman"/>
          <w:sz w:val="28"/>
          <w:szCs w:val="28"/>
        </w:rPr>
        <w:t xml:space="preserve">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(код бюджетной 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07090 04 0004 140);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иные штрафы, неустойки, пени, уплаченные в соответствии с законом или договором </w:t>
      </w:r>
      <w:r>
        <w:rPr>
          <w:rFonts w:ascii="Times New Roman" w:hAnsi="Times New Roman"/>
          <w:sz w:val="28"/>
          <w:szCs w:val="28"/>
        </w:rPr>
        <w:t xml:space="preserve">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 (код бюджетной 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07090 04 0006 140);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 (код бюджетной классификации 993 116 10031 04 0000 140);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платежи в целях возмещения убытков, причиненных</w:t>
      </w:r>
      <w:r>
        <w:rPr>
          <w:rFonts w:ascii="Times New Roman" w:hAnsi="Times New Roman"/>
          <w:sz w:val="28"/>
          <w:szCs w:val="28"/>
        </w:rPr>
        <w:t xml:space="preserve">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</w:t>
      </w:r>
      <w:r>
        <w:rPr>
          <w:rFonts w:ascii="Times New Roman" w:hAnsi="Times New Roman"/>
          <w:sz w:val="28"/>
          <w:szCs w:val="28"/>
        </w:rPr>
        <w:t xml:space="preserve">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(код бюджетной 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10061 04 0000 140);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платежи в целях возмещения ущерба при расторжении муниципального контракта, заключенного с муниципальным органом городского</w:t>
      </w:r>
      <w:r>
        <w:rPr>
          <w:rFonts w:ascii="Times New Roman" w:hAnsi="Times New Roman"/>
          <w:sz w:val="28"/>
          <w:szCs w:val="28"/>
        </w:rPr>
        <w:t xml:space="preserve"> округа (муниципальным казенным учреждением), в связи с односторонним отказом исполнителя (подрядчика) от его исполнения                (за исключением муниципального контракта, финансируемого за счет средств муниципального дорожного фонда) (код бюджетной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классификации 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10081 04 0000 140);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доходы от денежных взысканий (штрафов), поступающие в счет погашения задолженности, образовавшейся до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2020, подлежащие зачислению в бюджет муниципального образования по нормативам, действовавшим в 2019 году (доходы бюджетов горо</w:t>
      </w:r>
      <w:r>
        <w:rPr>
          <w:rFonts w:ascii="Times New Roman" w:hAnsi="Times New Roman"/>
          <w:sz w:val="28"/>
          <w:szCs w:val="28"/>
        </w:rPr>
        <w:t xml:space="preserve">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(код бюджетной классификации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116 10123 01 0041 140)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</w:t>
      </w:r>
      <w:r>
        <w:rPr>
          <w:rFonts w:ascii="Times New Roman" w:hAnsi="Times New Roman"/>
          <w:sz w:val="28"/>
          <w:szCs w:val="28"/>
        </w:rPr>
        <w:t xml:space="preserve"> прочие неналоговые доходы бюджетов городских округов (код бюджетной классификации 993 117 05040 04 0000 180).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tabs>
          <w:tab w:val="left" w:pos="1418" w:leader="none"/>
          <w:tab w:val="left" w:pos="212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К</w:t>
      </w:r>
      <w:r>
        <w:rPr>
          <w:rFonts w:ascii="Times New Roman" w:hAnsi="Times New Roman"/>
          <w:sz w:val="28"/>
          <w:szCs w:val="28"/>
        </w:rPr>
        <w:t xml:space="preserve"> непрогнозируемым неналоговым доходам, администрируемым администрацией района, которые носят несистемный и (или) нерегулярный характер, относятся: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невыясненные поступления, зачисляемые в бюджеты городских округов (код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бюджетной классификации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99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117 01040 04 0000 180).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вид неналоговых доходов относ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тся к непрогнозируемым, но фактически поступающим платежам в доход бюджета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Поступление указанных доходов имеет несистемный, нерегулярный характер, с учетом непредсказуемости их образования прогнозируются с применением иного метода расчета.</w:t>
      </w:r>
      <w:r>
        <w:rPr>
          <w:rFonts w:ascii="Times New Roman" w:hAnsi="Times New Roman"/>
          <w:sz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При расчете прогнозного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(за иск</w:t>
      </w:r>
      <w:r>
        <w:rPr>
          <w:rFonts w:ascii="Times New Roman" w:hAnsi="Times New Roman"/>
          <w:sz w:val="28"/>
          <w:szCs w:val="28"/>
        </w:rPr>
        <w:t xml:space="preserve">лючением задолженности, подлежащей учету на забалансовых счетах до принятия решения о ее восстановлении на балансовых счетах или списании с забалансовых счетов) осуществляется исходя из задолженности, отраженной в бюджетной отчетности администрации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Методика прог</w:t>
      </w:r>
      <w:r>
        <w:rPr>
          <w:rFonts w:ascii="Times New Roman" w:hAnsi="Times New Roman"/>
          <w:sz w:val="28"/>
          <w:szCs w:val="28"/>
        </w:rPr>
        <w:t xml:space="preserve">нозирования поступлений доходов в</w:t>
      </w:r>
      <w:r>
        <w:rPr>
          <w:rFonts w:ascii="Times New Roman" w:hAnsi="Times New Roman"/>
          <w:sz w:val="28"/>
          <w:szCs w:val="28"/>
        </w:rPr>
        <w:t xml:space="preserve"> бюджет города Барнаула, главным администратором которых является</w:t>
      </w:r>
      <w:r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района, изложена в приложении</w:t>
      </w:r>
      <w:r>
        <w:rPr>
          <w:rFonts w:ascii="Times New Roman" w:hAnsi="Times New Roman"/>
          <w:sz w:val="28"/>
          <w:szCs w:val="28"/>
        </w:rPr>
        <w:t xml:space="preserve"> к Методике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567" w:bottom="851" w:left="1985" w:header="709" w:footer="23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rPr>
        <w:rStyle w:val="681"/>
      </w:rPr>
      <w:framePr w:wrap="around" w:vAnchor="text" w:hAnchor="margin" w:xAlign="right" w:y="1"/>
    </w:pPr>
    <w:r>
      <w:rPr>
        <w:rStyle w:val="681"/>
      </w:rPr>
      <w:fldChar w:fldCharType="begin"/>
    </w:r>
    <w:r>
      <w:rPr>
        <w:rStyle w:val="681"/>
      </w:rPr>
      <w:instrText xml:space="preserve">PAGE  </w:instrText>
    </w:r>
    <w:r>
      <w:rPr>
        <w:rStyle w:val="681"/>
      </w:rPr>
      <w:fldChar w:fldCharType="separate"/>
    </w:r>
    <w:r>
      <w:rPr>
        <w:rStyle w:val="681"/>
      </w:rPr>
      <w:t xml:space="preserve">9</w:t>
    </w:r>
    <w:r>
      <w:rPr>
        <w:rStyle w:val="681"/>
      </w:rPr>
      <w:fldChar w:fldCharType="end"/>
    </w:r>
    <w:r>
      <w:rPr>
        <w:rStyle w:val="681"/>
      </w:rPr>
    </w:r>
    <w:r>
      <w:rPr>
        <w:rStyle w:val="681"/>
      </w:rPr>
    </w:r>
  </w:p>
  <w:p>
    <w:pPr>
      <w:pStyle w:val="680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  <w:rPr>
        <w:rFonts w:cs="Arial"/>
      </w:rPr>
    </w:lvl>
    <w:lvl w:ilvl="1">
      <w:start w:val="1"/>
      <w:numFmt w:val="decimal"/>
      <w:isLgl w:val="false"/>
      <w:suff w:val="tab"/>
      <w:lvlText w:val="%1.%2."/>
      <w:lvlJc w:val="left"/>
      <w:pPr>
        <w:ind w:left="1909" w:hanging="1200"/>
      </w:pPr>
      <w:rPr>
        <w:rFonts w:cs="Aria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8" w:hanging="1200"/>
      </w:pPr>
      <w:rPr>
        <w:rFonts w:cs="Aria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27" w:hanging="1200"/>
      </w:pPr>
      <w:rPr>
        <w:rFonts w:cs="Arial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36" w:hanging="1200"/>
      </w:pPr>
      <w:rPr>
        <w:rFonts w:cs="Arial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cs="Arial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cs="Arial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cs="Arial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cs="Aria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next w:val="671"/>
    <w:link w:val="671"/>
    <w:qFormat/>
    <w:rPr>
      <w:rFonts w:ascii="Arial" w:hAnsi="Arial"/>
      <w:lang w:val="ru-RU" w:eastAsia="ru-RU" w:bidi="ar-SA"/>
    </w:rPr>
  </w:style>
  <w:style w:type="paragraph" w:styleId="672">
    <w:name w:val="Заголовок 1"/>
    <w:basedOn w:val="671"/>
    <w:next w:val="671"/>
    <w:link w:val="671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673">
    <w:name w:val="Заголовок 2"/>
    <w:basedOn w:val="671"/>
    <w:next w:val="671"/>
    <w:link w:val="671"/>
    <w:qFormat/>
    <w:pPr>
      <w:jc w:val="both"/>
      <w:keepNext/>
      <w:outlineLvl w:val="1"/>
    </w:pPr>
    <w:rPr>
      <w:rFonts w:ascii="Times New Roman" w:hAnsi="Times New Roman"/>
      <w:b/>
      <w:sz w:val="28"/>
    </w:rPr>
  </w:style>
  <w:style w:type="paragraph" w:styleId="674">
    <w:name w:val="Заголовок 3"/>
    <w:basedOn w:val="671"/>
    <w:next w:val="671"/>
    <w:link w:val="696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675">
    <w:name w:val="Основной шрифт абзаца"/>
    <w:next w:val="675"/>
    <w:link w:val="671"/>
    <w:uiPriority w:val="1"/>
    <w:semiHidden/>
    <w:unhideWhenUsed/>
  </w:style>
  <w:style w:type="table" w:styleId="676">
    <w:name w:val="Обычная таблица"/>
    <w:next w:val="676"/>
    <w:link w:val="671"/>
    <w:uiPriority w:val="99"/>
    <w:semiHidden/>
    <w:unhideWhenUsed/>
    <w:qFormat/>
    <w:tblPr/>
  </w:style>
  <w:style w:type="numbering" w:styleId="677">
    <w:name w:val="Нет списка"/>
    <w:next w:val="677"/>
    <w:link w:val="671"/>
    <w:uiPriority w:val="99"/>
    <w:semiHidden/>
    <w:unhideWhenUsed/>
  </w:style>
  <w:style w:type="paragraph" w:styleId="678">
    <w:name w:val="Основной текст"/>
    <w:basedOn w:val="671"/>
    <w:next w:val="678"/>
    <w:link w:val="671"/>
    <w:pPr>
      <w:jc w:val="both"/>
    </w:pPr>
    <w:rPr>
      <w:rFonts w:ascii="Times New Roman" w:hAnsi="Times New Roman"/>
      <w:color w:val="000000"/>
      <w:sz w:val="28"/>
    </w:rPr>
  </w:style>
  <w:style w:type="paragraph" w:styleId="679">
    <w:name w:val="Основной текст 2"/>
    <w:basedOn w:val="671"/>
    <w:next w:val="679"/>
    <w:link w:val="671"/>
    <w:pPr>
      <w:jc w:val="both"/>
    </w:pPr>
    <w:rPr>
      <w:rFonts w:ascii="Times New Roman" w:hAnsi="Times New Roman"/>
      <w:bCs/>
      <w:sz w:val="24"/>
    </w:rPr>
  </w:style>
  <w:style w:type="paragraph" w:styleId="680">
    <w:name w:val="Верхний колонтитул"/>
    <w:basedOn w:val="671"/>
    <w:next w:val="680"/>
    <w:link w:val="701"/>
    <w:uiPriority w:val="99"/>
    <w:pPr>
      <w:tabs>
        <w:tab w:val="center" w:pos="4677" w:leader="none"/>
        <w:tab w:val="right" w:pos="9355" w:leader="none"/>
      </w:tabs>
    </w:pPr>
  </w:style>
  <w:style w:type="character" w:styleId="681">
    <w:name w:val="Номер страницы"/>
    <w:basedOn w:val="675"/>
    <w:next w:val="681"/>
    <w:link w:val="671"/>
  </w:style>
  <w:style w:type="paragraph" w:styleId="682">
    <w:name w:val="Текст выноски"/>
    <w:basedOn w:val="671"/>
    <w:next w:val="682"/>
    <w:link w:val="68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83">
    <w:name w:val="Текст выноски Знак"/>
    <w:next w:val="683"/>
    <w:link w:val="682"/>
    <w:uiPriority w:val="99"/>
    <w:semiHidden/>
    <w:rPr>
      <w:rFonts w:ascii="Tahoma" w:hAnsi="Tahoma" w:cs="Tahoma"/>
      <w:sz w:val="16"/>
      <w:szCs w:val="16"/>
    </w:rPr>
  </w:style>
  <w:style w:type="paragraph" w:styleId="684">
    <w:name w:val="Нижний колонтитул"/>
    <w:basedOn w:val="671"/>
    <w:next w:val="684"/>
    <w:link w:val="68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85">
    <w:name w:val="Нижний колонтитул Знак"/>
    <w:next w:val="685"/>
    <w:link w:val="684"/>
    <w:uiPriority w:val="99"/>
    <w:rPr>
      <w:rFonts w:ascii="Arial" w:hAnsi="Arial"/>
    </w:rPr>
  </w:style>
  <w:style w:type="table" w:styleId="686">
    <w:name w:val="Сетка таблицы"/>
    <w:basedOn w:val="676"/>
    <w:next w:val="686"/>
    <w:link w:val="671"/>
    <w:tblPr/>
  </w:style>
  <w:style w:type="paragraph" w:styleId="687">
    <w:name w:val="ConsPlusNormal"/>
    <w:next w:val="687"/>
    <w:link w:val="671"/>
    <w:pPr>
      <w:ind w:firstLine="720"/>
    </w:pPr>
    <w:rPr>
      <w:rFonts w:ascii="Arial" w:hAnsi="Arial" w:cs="Arial"/>
      <w:lang w:val="ru-RU" w:eastAsia="ru-RU" w:bidi="ar-SA"/>
    </w:rPr>
  </w:style>
  <w:style w:type="paragraph" w:styleId="688">
    <w:name w:val="ConsPlusNonformat"/>
    <w:next w:val="688"/>
    <w:link w:val="671"/>
    <w:rPr>
      <w:rFonts w:ascii="Courier New" w:hAnsi="Courier New" w:cs="Courier New"/>
      <w:lang w:val="ru-RU" w:eastAsia="ru-RU" w:bidi="ar-SA"/>
    </w:rPr>
  </w:style>
  <w:style w:type="paragraph" w:styleId="689">
    <w:name w:val="Основной текст с отступом"/>
    <w:basedOn w:val="671"/>
    <w:next w:val="689"/>
    <w:link w:val="690"/>
    <w:pPr>
      <w:ind w:left="283"/>
      <w:spacing w:after="120"/>
    </w:pPr>
    <w:rPr>
      <w:rFonts w:ascii="Times New Roman" w:hAnsi="Times New Roman"/>
    </w:rPr>
  </w:style>
  <w:style w:type="character" w:styleId="690">
    <w:name w:val="Основной текст с отступом Знак"/>
    <w:basedOn w:val="675"/>
    <w:next w:val="690"/>
    <w:link w:val="689"/>
  </w:style>
  <w:style w:type="character" w:styleId="691">
    <w:name w:val="Гиперссылка"/>
    <w:next w:val="691"/>
    <w:link w:val="671"/>
    <w:uiPriority w:val="99"/>
    <w:semiHidden/>
    <w:unhideWhenUsed/>
    <w:rPr>
      <w:color w:val="0000ff"/>
      <w:u w:val="single"/>
    </w:rPr>
  </w:style>
  <w:style w:type="paragraph" w:styleId="692">
    <w:name w:val="ConsPlusTitle"/>
    <w:next w:val="692"/>
    <w:link w:val="671"/>
    <w:pPr>
      <w:widowControl w:val="off"/>
    </w:pPr>
    <w:rPr>
      <w:rFonts w:ascii="Arial" w:hAnsi="Arial" w:cs="Arial"/>
      <w:b/>
      <w:lang w:val="ru-RU" w:eastAsia="ru-RU" w:bidi="ar-SA"/>
    </w:rPr>
  </w:style>
  <w:style w:type="paragraph" w:styleId="693">
    <w:name w:val="Обычный (веб)"/>
    <w:basedOn w:val="671"/>
    <w:next w:val="693"/>
    <w:link w:val="671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694">
    <w:name w:val="default"/>
    <w:basedOn w:val="671"/>
    <w:next w:val="694"/>
    <w:link w:val="6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695">
    <w:name w:val="formattext"/>
    <w:basedOn w:val="671"/>
    <w:next w:val="695"/>
    <w:link w:val="6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696">
    <w:name w:val="Заголовок 3 Знак"/>
    <w:next w:val="696"/>
    <w:link w:val="674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697">
    <w:name w:val="Без интервала"/>
    <w:next w:val="697"/>
    <w:link w:val="67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698">
    <w:name w:val="Default"/>
    <w:next w:val="698"/>
    <w:link w:val="671"/>
    <w:rPr>
      <w:rFonts w:eastAsia="Calibri"/>
      <w:color w:val="000000"/>
      <w:sz w:val="24"/>
      <w:szCs w:val="24"/>
      <w:lang w:val="ru-RU" w:eastAsia="en-US" w:bidi="ar-SA"/>
    </w:rPr>
  </w:style>
  <w:style w:type="table" w:styleId="699">
    <w:name w:val="Сетка таблицы1"/>
    <w:basedOn w:val="676"/>
    <w:next w:val="686"/>
    <w:link w:val="671"/>
    <w:uiPriority w:val="59"/>
    <w:rPr>
      <w:rFonts w:ascii="Calibri" w:hAnsi="Calibri"/>
      <w:sz w:val="22"/>
      <w:szCs w:val="22"/>
    </w:rPr>
    <w:tblPr/>
  </w:style>
  <w:style w:type="character" w:styleId="700">
    <w:name w:val="fontstyle01"/>
    <w:next w:val="700"/>
    <w:link w:val="671"/>
    <w:rPr>
      <w:rFonts w:ascii="TimesNewRomanPSMT" w:hAnsi="TimesNewRomanPSMT"/>
      <w:color w:val="000000"/>
      <w:sz w:val="28"/>
      <w:szCs w:val="28"/>
    </w:rPr>
  </w:style>
  <w:style w:type="character" w:styleId="701">
    <w:name w:val="Верхний колонтитул Знак"/>
    <w:next w:val="701"/>
    <w:link w:val="680"/>
    <w:uiPriority w:val="99"/>
    <w:rPr>
      <w:rFonts w:ascii="Arial" w:hAnsi="Arial"/>
    </w:rPr>
  </w:style>
  <w:style w:type="character" w:styleId="1176" w:default="1">
    <w:name w:val="Default Paragraph Font"/>
    <w:uiPriority w:val="1"/>
    <w:semiHidden/>
    <w:unhideWhenUsed/>
  </w:style>
  <w:style w:type="numbering" w:styleId="1177" w:default="1">
    <w:name w:val="No List"/>
    <w:uiPriority w:val="99"/>
    <w:semiHidden/>
    <w:unhideWhenUsed/>
  </w:style>
  <w:style w:type="table" w:styleId="11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Машбюро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Наталья Александровна Рогальс</dc:creator>
  <cp:revision>6</cp:revision>
  <dcterms:created xsi:type="dcterms:W3CDTF">2024-10-24T10:19:00Z</dcterms:created>
  <dcterms:modified xsi:type="dcterms:W3CDTF">2024-11-28T09:56:57Z</dcterms:modified>
  <cp:version>983040</cp:version>
</cp:coreProperties>
</file>