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2"/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</w:p>
    <w:p>
      <w:pPr>
        <w:pStyle w:val="672"/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72"/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  <w:r>
        <w:rPr>
          <w:sz w:val="28"/>
          <w:szCs w:val="28"/>
        </w:rPr>
      </w:r>
    </w:p>
    <w:p>
      <w:pPr>
        <w:pStyle w:val="672"/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от 11.12.2024 №880</w:t>
      </w:r>
      <w:r>
        <w:rPr>
          <w:sz w:val="28"/>
          <w:szCs w:val="28"/>
        </w:rPr>
      </w:r>
    </w:p>
    <w:p>
      <w:pPr>
        <w:pStyle w:val="67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ind w:left="-142"/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профилактики рисков причинения вреда (ущерба)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охраняемым законом ценностям по муниципальному ко</w:t>
      </w:r>
      <w:r>
        <w:rPr>
          <w:sz w:val="28"/>
          <w:szCs w:val="28"/>
        </w:rPr>
        <w:t xml:space="preserve">нтролю в сфере благоустройства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предметом к</w:t>
      </w:r>
      <w:r>
        <w:rPr>
          <w:sz w:val="28"/>
          <w:szCs w:val="28"/>
        </w:rPr>
        <w:t xml:space="preserve">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территории Ленинского района города Барнаула </w:t>
      </w:r>
      <w:r>
        <w:rPr>
          <w:sz w:val="28"/>
          <w:szCs w:val="28"/>
        </w:rPr>
        <w:t xml:space="preserve">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1. Анализ </w:t>
      </w:r>
      <w:r>
        <w:rPr>
          <w:sz w:val="28"/>
          <w:szCs w:val="28"/>
        </w:rPr>
        <w:t xml:space="preserve">текущего </w:t>
      </w:r>
      <w:r>
        <w:rPr>
          <w:sz w:val="28"/>
          <w:szCs w:val="28"/>
        </w:rPr>
        <w:t xml:space="preserve">состояния </w:t>
      </w:r>
      <w:r>
        <w:rPr>
          <w:sz w:val="28"/>
          <w:szCs w:val="28"/>
        </w:rPr>
        <w:t xml:space="preserve">осуществления муниципального </w:t>
      </w:r>
      <w:r>
        <w:rPr>
          <w:sz w:val="28"/>
          <w:szCs w:val="28"/>
        </w:rPr>
        <w:t xml:space="preserve">контроля </w:t>
      </w:r>
      <w:r>
        <w:rPr>
          <w:color w:val="000000"/>
          <w:sz w:val="28"/>
          <w:szCs w:val="28"/>
        </w:rPr>
        <w:t xml:space="preserve">в сфере благоустройства</w:t>
      </w:r>
      <w:r>
        <w:rPr>
          <w:sz w:val="28"/>
          <w:szCs w:val="28"/>
        </w:rPr>
        <w:t xml:space="preserve">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  <w:r>
        <w:rPr>
          <w:sz w:val="28"/>
          <w:szCs w:val="28"/>
        </w:rPr>
      </w:r>
    </w:p>
    <w:p>
      <w:pPr>
        <w:pStyle w:val="6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2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ч</w:t>
      </w:r>
      <w:r>
        <w:rPr>
          <w:color w:val="000000"/>
          <w:sz w:val="28"/>
          <w:szCs w:val="28"/>
        </w:rPr>
        <w:t xml:space="preserve">астью 1 статьи </w:t>
      </w:r>
      <w:r>
        <w:rPr>
          <w:color w:val="000000"/>
          <w:sz w:val="28"/>
          <w:szCs w:val="28"/>
        </w:rPr>
        <w:t xml:space="preserve">1 Федерального закона </w:t>
      </w:r>
      <w:r>
        <w:rPr>
          <w:color w:val="000000"/>
          <w:sz w:val="28"/>
          <w:szCs w:val="28"/>
        </w:rPr>
        <w:t xml:space="preserve">от 31.07.2020 №248-ФЗ «О государственном контроле (надзоре) и муниципальном контроле в Российской Федерации» (далее – Федеральный закон №248-ФЗ) муниципальный контроль осуществляется, в том числе посредством профилактики нарушений обязательных требований.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72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Муниципальный контроль должен обеспечивать стимулы к добросовестному соблюдению обязательных требований и минимизацию потенциальной выгоды от нарушений обязательных требований. </w:t>
      </w:r>
      <w:r>
        <w:rPr>
          <w:color w:val="000000"/>
          <w:sz w:val="28"/>
          <w:szCs w:val="28"/>
        </w:rPr>
      </w:r>
    </w:p>
    <w:p>
      <w:pPr>
        <w:pStyle w:val="672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Органы местного самоуправления организ</w:t>
      </w:r>
      <w:r>
        <w:rPr>
          <w:color w:val="000000"/>
          <w:sz w:val="28"/>
          <w:szCs w:val="28"/>
        </w:rPr>
        <w:t xml:space="preserve">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</w:t>
      </w:r>
      <w:r>
        <w:rPr>
          <w:color w:val="000000"/>
          <w:sz w:val="28"/>
          <w:szCs w:val="28"/>
        </w:rPr>
        <w:t xml:space="preserve">в местного самоуправления,</w:t>
      </w:r>
      <w:r>
        <w:rPr>
          <w:color w:val="000000"/>
          <w:sz w:val="28"/>
          <w:szCs w:val="28"/>
        </w:rPr>
        <w:t xml:space="preserve"> муниципальный контроль за соблюдением требований, установленных федеральными законами, законами с</w:t>
      </w:r>
      <w:r>
        <w:rPr>
          <w:color w:val="000000"/>
          <w:sz w:val="28"/>
          <w:szCs w:val="28"/>
        </w:rPr>
        <w:t xml:space="preserve">убъектов Российской Федерации.</w:t>
      </w:r>
      <w:r>
        <w:rPr>
          <w:color w:val="000000"/>
          <w:sz w:val="28"/>
          <w:szCs w:val="28"/>
        </w:rPr>
      </w:r>
    </w:p>
    <w:p>
      <w:pPr>
        <w:pStyle w:val="672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Муниципальный контроль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</w:t>
      </w:r>
      <w:r>
        <w:rPr>
          <w:color w:val="000000"/>
          <w:sz w:val="28"/>
          <w:szCs w:val="28"/>
        </w:rPr>
        <w:t xml:space="preserve"> осуществляется </w:t>
      </w:r>
      <w:r>
        <w:rPr>
          <w:color w:val="000000"/>
          <w:sz w:val="28"/>
          <w:szCs w:val="28"/>
        </w:rPr>
        <w:t xml:space="preserve">посредством мероприятий, направленных на профилактику нарушений обязательных требований, выявление и пресечение нарушений обязательных требований, устранени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их последствий и (или) восстановлени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правового положения, существовавшего до возникновения таких нарушений. </w:t>
      </w:r>
      <w:r>
        <w:rPr>
          <w:color w:val="000000"/>
          <w:sz w:val="28"/>
          <w:szCs w:val="28"/>
        </w:rPr>
      </w:r>
    </w:p>
    <w:p>
      <w:pPr>
        <w:pStyle w:val="672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Предметом </w:t>
      </w:r>
      <w:r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 xml:space="preserve">контроля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/>
          <w:sz w:val="28"/>
          <w:szCs w:val="28"/>
        </w:rPr>
        <w:t xml:space="preserve">является </w:t>
      </w:r>
      <w:r>
        <w:rPr>
          <w:color w:val="000000"/>
          <w:sz w:val="28"/>
          <w:szCs w:val="28"/>
        </w:rPr>
        <w:t xml:space="preserve">соблюдение контролируемыми лицами </w:t>
      </w:r>
      <w:r>
        <w:rPr>
          <w:color w:val="000000"/>
          <w:sz w:val="28"/>
          <w:szCs w:val="28"/>
        </w:rPr>
        <w:t xml:space="preserve">в отношении территорий, подлежащих благоустройству, элементов и объектов благоустройства, расположенных на территории города, требований </w:t>
      </w:r>
      <w:r>
        <w:rPr>
          <w:color w:val="000000"/>
          <w:sz w:val="28"/>
          <w:szCs w:val="28"/>
        </w:rPr>
        <w:t xml:space="preserve">Правил благоустройства территории городского округа - города Барнаула Алтайского края, утвержденных решением Барнаульской городской Думы от 19.03.2021 №645, (далее - Правила благоустройства)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иных муниципальных правовых актов города Барнаула в области благоустройства, принятых в соответствии с Правилами благоустройства,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онтрол</w:t>
      </w:r>
      <w:r>
        <w:rPr>
          <w:sz w:val="28"/>
          <w:szCs w:val="28"/>
        </w:rPr>
        <w:t xml:space="preserve">ируемыми </w:t>
      </w:r>
      <w:r>
        <w:rPr>
          <w:sz w:val="28"/>
          <w:szCs w:val="28"/>
        </w:rPr>
        <w:t xml:space="preserve">лицами </w:t>
      </w:r>
      <w:r>
        <w:rPr>
          <w:sz w:val="28"/>
          <w:szCs w:val="28"/>
        </w:rPr>
        <w:t xml:space="preserve">при осуществлении </w:t>
      </w:r>
      <w:r>
        <w:rPr>
          <w:color w:val="000000"/>
          <w:sz w:val="28"/>
          <w:szCs w:val="28"/>
        </w:rPr>
        <w:t xml:space="preserve">контрол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</w:t>
      </w:r>
      <w:r>
        <w:rPr>
          <w:sz w:val="28"/>
          <w:szCs w:val="28"/>
        </w:rPr>
        <w:t xml:space="preserve"> в соответствии со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статьей 31 Федерального закона </w:t>
      </w:r>
      <w:r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 xml:space="preserve">№248-ФЗ </w:t>
      </w:r>
      <w:r>
        <w:rPr>
          <w:sz w:val="28"/>
          <w:szCs w:val="28"/>
        </w:rPr>
        <w:t xml:space="preserve">являются </w:t>
      </w:r>
      <w:r>
        <w:rPr>
          <w:sz w:val="28"/>
          <w:szCs w:val="28"/>
        </w:rPr>
        <w:t xml:space="preserve">граждане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текущего состояния осуществления муниципального контроля в сфере благоустройства показал, что контролирующими органами адм</w:t>
      </w:r>
      <w:r>
        <w:rPr>
          <w:sz w:val="28"/>
          <w:szCs w:val="28"/>
        </w:rPr>
        <w:t xml:space="preserve">инистрации района в течение 2024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осуществлялась профилактическая деятельность, направленная на недопущение, устранение нарушений обязательных требований в указанной сфере. Контролируемые и иные заинтересованные лица систематически информировались  по вопросам соблюдения обязательных требо</w:t>
      </w:r>
      <w:r>
        <w:rPr>
          <w:sz w:val="28"/>
          <w:szCs w:val="28"/>
        </w:rPr>
        <w:t xml:space="preserve">ваний, об изменениях законодательства, регламентирующего порядок осуществления муниципального контроля, привлечения лиц к административной ответственности за нарушение правил благоустройства, посредством размещения публикаций в газете «Вечерний Барнаул» и </w:t>
      </w:r>
      <w:r>
        <w:rPr>
          <w:sz w:val="28"/>
          <w:szCs w:val="28"/>
        </w:rPr>
        <w:t xml:space="preserve">в рубрике </w:t>
      </w:r>
      <w:r>
        <w:rPr>
          <w:sz w:val="28"/>
          <w:szCs w:val="28"/>
        </w:rPr>
        <w:t xml:space="preserve">«Муниципальный контроль» </w:t>
      </w:r>
      <w:r>
        <w:rPr>
          <w:sz w:val="28"/>
          <w:szCs w:val="28"/>
        </w:rPr>
        <w:t xml:space="preserve">на странице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Ленинского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официального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Интернет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сайта</w:t>
      </w:r>
      <w:r>
        <w:rPr>
          <w:sz w:val="28"/>
          <w:szCs w:val="28"/>
        </w:rPr>
        <w:t xml:space="preserve"> города Барнаула. </w:t>
      </w:r>
      <w:r>
        <w:rPr>
          <w:sz w:val="28"/>
          <w:szCs w:val="28"/>
        </w:rPr>
        <w:t xml:space="preserve">Представители</w:t>
      </w:r>
      <w:r>
        <w:rPr>
          <w:sz w:val="28"/>
          <w:szCs w:val="28"/>
        </w:rPr>
        <w:t xml:space="preserve"> бизнеса </w:t>
      </w:r>
      <w:r>
        <w:rPr>
          <w:sz w:val="28"/>
          <w:szCs w:val="28"/>
        </w:rPr>
        <w:t xml:space="preserve">информировались</w:t>
      </w:r>
      <w:r>
        <w:rPr>
          <w:sz w:val="28"/>
          <w:szCs w:val="28"/>
        </w:rPr>
        <w:t xml:space="preserve"> о процедуре размещения (эксплуатации) нестационарных торговых объектов, разработанн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органом местного самоуправления.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7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странице </w:t>
      </w:r>
      <w:r>
        <w:rPr>
          <w:sz w:val="28"/>
          <w:szCs w:val="28"/>
        </w:rPr>
        <w:t xml:space="preserve">Ленинского</w:t>
      </w:r>
      <w:r>
        <w:rPr>
          <w:sz w:val="28"/>
          <w:szCs w:val="28"/>
        </w:rPr>
        <w:t xml:space="preserve"> района официального Интернет-сайта</w:t>
      </w:r>
      <w:r>
        <w:rPr>
          <w:sz w:val="28"/>
          <w:szCs w:val="28"/>
        </w:rPr>
        <w:t xml:space="preserve"> города Барнаула размещен перечень нормативных правовых актов, содержащих обязательные требования, оценка соблюдения которы</w:t>
      </w:r>
      <w:r>
        <w:rPr>
          <w:sz w:val="28"/>
          <w:szCs w:val="28"/>
        </w:rPr>
        <w:t xml:space="preserve">х является предметом контроля, </w:t>
      </w:r>
      <w:r>
        <w:rPr>
          <w:sz w:val="28"/>
          <w:szCs w:val="28"/>
        </w:rPr>
        <w:t xml:space="preserve">тексты нормативных правовых актов, регулирующих осуществление муни</w:t>
      </w:r>
      <w:r>
        <w:rPr>
          <w:sz w:val="28"/>
          <w:szCs w:val="28"/>
        </w:rPr>
        <w:t xml:space="preserve">ципального контроля, руководство</w:t>
      </w:r>
      <w:r>
        <w:rPr>
          <w:sz w:val="28"/>
          <w:szCs w:val="28"/>
        </w:rPr>
        <w:t xml:space="preserve"> по соблюдению обязательных требований, разработанных в соответствии с Федеральным законом №248-ФЗ, и программа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Style w:val="67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повышения теоретических и практических навыков должностных лиц, осуществляющих полномочи</w:t>
      </w:r>
      <w:r>
        <w:rPr>
          <w:sz w:val="28"/>
          <w:szCs w:val="28"/>
        </w:rPr>
        <w:t xml:space="preserve">я по муниципальному контролю,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в администрации района с муниципальными служащими проведена уч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ба по вопросу организации и осуществлению муниципального контроля. </w:t>
      </w:r>
      <w:r>
        <w:rPr>
          <w:sz w:val="28"/>
          <w:szCs w:val="28"/>
        </w:rPr>
      </w:r>
    </w:p>
    <w:p>
      <w:pPr>
        <w:pStyle w:val="67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Характеризуя проблематику вопросов, на решение которых направлена программа профилактики рисков причинения вреда, следует отметить предупреждение, недопущение и устранение наруше</w:t>
      </w:r>
      <w:r>
        <w:rPr>
          <w:sz w:val="28"/>
          <w:szCs w:val="28"/>
        </w:rPr>
        <w:t xml:space="preserve">ний Правил благоустройства, в том числе при размещении (эксплуатации) нестационарных объектов, направленных на обеспечение санитарного состояния земельных участков, надлежащего содержания детских игровых площадок, соблюдения мест для парковок автомобилей.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положения действующего законодател</w:t>
      </w:r>
      <w:r>
        <w:rPr>
          <w:sz w:val="28"/>
          <w:szCs w:val="28"/>
        </w:rPr>
        <w:t xml:space="preserve">ьства о муниципальном контроле </w:t>
      </w:r>
      <w:r>
        <w:rPr>
          <w:sz w:val="28"/>
          <w:szCs w:val="28"/>
        </w:rPr>
        <w:t xml:space="preserve">и административного законодательства, состояния законности на территории района в части соблюдения обязательных  требований по благоустройству территорий, реш</w:t>
      </w:r>
      <w:r>
        <w:rPr>
          <w:sz w:val="28"/>
          <w:szCs w:val="28"/>
        </w:rPr>
        <w:t xml:space="preserve">ение вышеуказанных проблемных </w:t>
      </w:r>
      <w:r>
        <w:rPr>
          <w:sz w:val="28"/>
          <w:szCs w:val="28"/>
        </w:rPr>
        <w:t xml:space="preserve">вопросов остаётся </w:t>
      </w:r>
      <w:r>
        <w:rPr>
          <w:sz w:val="28"/>
          <w:szCs w:val="28"/>
        </w:rPr>
        <w:t xml:space="preserve">актуальным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2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2. </w:t>
      </w:r>
      <w:r>
        <w:rPr>
          <w:sz w:val="28"/>
          <w:szCs w:val="28"/>
        </w:rPr>
        <w:t xml:space="preserve">Цели и задачи реализации программы профилактики</w:t>
      </w:r>
      <w:r>
        <w:rPr>
          <w:sz w:val="28"/>
          <w:szCs w:val="28"/>
        </w:rPr>
        <w:t xml:space="preserve"> рисков причинения вреда</w:t>
      </w:r>
      <w:r>
        <w:rPr>
          <w:sz w:val="28"/>
          <w:szCs w:val="28"/>
        </w:rPr>
      </w:r>
    </w:p>
    <w:p>
      <w:pPr>
        <w:pStyle w:val="6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разработки Программы и про</w:t>
      </w:r>
      <w:r>
        <w:rPr>
          <w:sz w:val="28"/>
          <w:szCs w:val="28"/>
        </w:rPr>
        <w:t xml:space="preserve">ведение профилактической работы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прозрачности системы муниципального контроля;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</w:t>
      </w:r>
      <w:r>
        <w:rPr>
          <w:sz w:val="28"/>
          <w:szCs w:val="28"/>
        </w:rPr>
        <w:t xml:space="preserve">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мотивация подконтрольных субъектов к добросовестному поведению.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профилактических мероприятий Программы позволяет решить следующие задачи: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снижение уровня административной нагрузки на организации и граждан, осуществляющих предпринимательскую деятельность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jc w:val="center"/>
        <w:rPr>
          <w:sz w:val="28"/>
          <w:szCs w:val="28"/>
        </w:rPr>
      </w:pPr>
      <w:r/>
      <w:bookmarkStart w:id="1" w:name="sub_7701"/>
      <w:r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еречень профилактических мероприятий, сроки (периодичность) их проведения</w:t>
      </w:r>
      <w:bookmarkEnd w:id="1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698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698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tbl>
      <w:tblPr>
        <w:tblW w:w="9531" w:type="dxa"/>
        <w:jc w:val="center"/>
        <w:tblInd w:w="79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89"/>
        <w:gridCol w:w="1985"/>
        <w:gridCol w:w="2376"/>
        <w:gridCol w:w="1588"/>
        <w:gridCol w:w="2557"/>
        <w:gridCol w:w="236"/>
      </w:tblGrid>
      <w:tr>
        <w:tblPrEx/>
        <w:trPr>
          <w:trHeight w:val="15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Наименование мероприятия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Сведения о мероприятии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Срок реализации мероприя-тия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Ответственный исполнитель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236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1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Align w:val="top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67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нформирова-ние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администрация района осуществл</w:t>
            </w:r>
            <w:r>
              <w:rPr>
                <w:sz w:val="28"/>
                <w:szCs w:val="28"/>
              </w:rPr>
              <w:t xml:space="preserve">яет информирование контролируемых лиц и иных заинтересован-ных лиц по вопросам соблюдения обязательных требований посредством размещения соответствующих сведений на странице администрации района на официальном Интернет-сайте города Барнаула и в иных формах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Align w:val="top"/>
            <w:vMerge w:val="restart"/>
            <w:textDirection w:val="lrTb"/>
            <w:noWrap w:val="false"/>
          </w:tcPr>
          <w:p>
            <w:pPr>
              <w:pStyle w:val="672"/>
              <w:jc w:val="center"/>
            </w:pPr>
            <w:r>
              <w:rPr>
                <w:sz w:val="28"/>
                <w:szCs w:val="28"/>
              </w:rPr>
              <w:t xml:space="preserve">в течение года</w:t>
            </w:r>
            <w:r>
              <w:rPr>
                <w:sz w:val="28"/>
                <w:szCs w:val="28"/>
                <w:lang w:eastAsia="en-US"/>
              </w:rPr>
            </w:r>
            <w:r/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мере необходи-мости)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Align w:val="top"/>
            <w:vMerge w:val="restart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главный специалист-пресс-секретарь,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коммунального хозяйства,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по строительству и архитектуре,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развитию предпринима-тельства и потребительскому рынку,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комитет по делам молодежи, культуре, физической культуре и спорту, отдел по работе с жилищным фондом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236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9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дминистрация района размещает и поддерживает в актуальном состоянии на странице администрации района на официальном Интернет-сайте города Барнаула: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67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1) тексты нормативных правовых актов, регулирующих осуществление муниципального контроля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236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highlight w:val="yellow"/>
                <w:lang w:eastAsia="en-US"/>
              </w:rPr>
            </w:r>
            <w:r>
              <w:rPr>
                <w:sz w:val="28"/>
                <w:szCs w:val="28"/>
                <w:highlight w:val="yellow"/>
                <w:lang w:eastAsia="en-US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236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highlight w:val="yellow"/>
                <w:lang w:eastAsia="en-US"/>
              </w:rPr>
            </w:r>
            <w:r>
              <w:rPr>
                <w:sz w:val="28"/>
                <w:szCs w:val="28"/>
                <w:highlight w:val="yellow"/>
                <w:lang w:eastAsia="en-US"/>
              </w:rPr>
            </w:r>
          </w:p>
        </w:tc>
      </w:tr>
      <w:tr>
        <w:tblPrEx/>
        <w:trPr>
          <w:trHeight w:val="35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"garantF1://77585777.0"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692"/>
                <w:color w:val="000000"/>
                <w:sz w:val="28"/>
                <w:szCs w:val="28"/>
                <w:u w:val="none"/>
              </w:rPr>
              <w:t xml:space="preserve">перечень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67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236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highlight w:val="yellow"/>
                <w:lang w:eastAsia="en-US"/>
              </w:rPr>
            </w:r>
            <w:r>
              <w:rPr>
                <w:sz w:val="28"/>
                <w:szCs w:val="28"/>
                <w:highlight w:val="yellow"/>
                <w:lang w:eastAsia="en-US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 xml:space="preserve">4) утвержденные проверочные листы</w:t>
            </w:r>
            <w:r>
              <w:rPr>
                <w:sz w:val="28"/>
                <w:szCs w:val="28"/>
                <w:highlight w:val="yellow"/>
                <w:lang w:eastAsia="en-US"/>
              </w:rPr>
            </w:r>
            <w:r>
              <w:rPr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236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highlight w:val="yellow"/>
                <w:lang w:eastAsia="en-US"/>
              </w:rPr>
            </w:r>
            <w:r>
              <w:rPr>
                <w:sz w:val="28"/>
                <w:szCs w:val="28"/>
                <w:highlight w:val="yellow"/>
                <w:lang w:eastAsia="en-US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5) руководства по соблюдению обязательных требований, разработанные и утвержденные в соответствии с Федеральным законом от 31.07.2020 </w:t>
            </w: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№ 247-ФЗ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«Об обязательных требованиях в Российской Федерации»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236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highlight w:val="yellow"/>
                <w:lang w:eastAsia="en-US"/>
              </w:rPr>
            </w:r>
            <w:r>
              <w:rPr>
                <w:sz w:val="28"/>
                <w:szCs w:val="28"/>
                <w:highlight w:val="yellow"/>
                <w:lang w:eastAsia="en-US"/>
              </w:rPr>
            </w:r>
          </w:p>
        </w:tc>
      </w:tr>
      <w:tr>
        <w:tblPrEx/>
        <w:trPr>
          <w:trHeight w:val="16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6) перечень индикаторов риска нарушения обязательных требований, порядок отнесения объектов контроля к категориям риска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236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highlight w:val="yellow"/>
                <w:lang w:eastAsia="en-US"/>
              </w:rPr>
            </w:r>
            <w:r>
              <w:rPr>
                <w:sz w:val="28"/>
                <w:szCs w:val="28"/>
                <w:highlight w:val="yellow"/>
                <w:lang w:eastAsia="en-US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7) перечень объектов контроля, учитываемых в рамках формирования ежегодного плана контрольных мероприятий, с указанием категории риска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236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highlight w:val="yellow"/>
                <w:lang w:eastAsia="en-US"/>
              </w:rPr>
            </w:r>
            <w:r>
              <w:rPr>
                <w:sz w:val="28"/>
                <w:szCs w:val="28"/>
                <w:highlight w:val="yellow"/>
                <w:lang w:eastAsia="en-US"/>
              </w:rPr>
            </w:r>
          </w:p>
        </w:tc>
      </w:tr>
      <w:tr>
        <w:tblPrEx/>
        <w:trPr>
          <w:trHeight w:val="6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 xml:space="preserve">8) 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 </w:t>
            </w:r>
            <w:r>
              <w:rPr>
                <w:sz w:val="28"/>
                <w:szCs w:val="28"/>
                <w:highlight w:val="yellow"/>
                <w:lang w:eastAsia="en-US"/>
              </w:rPr>
            </w:r>
            <w:r>
              <w:rPr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до 25.12.202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236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highlight w:val="yellow"/>
                <w:lang w:eastAsia="en-US"/>
              </w:rPr>
            </w:r>
            <w:r>
              <w:rPr>
                <w:sz w:val="28"/>
                <w:szCs w:val="28"/>
                <w:highlight w:val="yellow"/>
                <w:lang w:eastAsia="en-US"/>
              </w:rPr>
            </w:r>
          </w:p>
        </w:tc>
      </w:tr>
      <w:tr>
        <w:tblPrEx/>
        <w:trPr>
          <w:trHeight w:val="5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9) исчерпываю-щий перечень сведений, которые могут запрашиваться контрольным органом у контролируемого лица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Align w:val="top"/>
            <w:vMerge w:val="restart"/>
            <w:textDirection w:val="lrTb"/>
            <w:noWrap w:val="false"/>
          </w:tcPr>
          <w:p>
            <w:pPr>
              <w:pStyle w:val="67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в течение года</w:t>
            </w:r>
            <w:r>
              <w:rPr>
                <w:color w:val="000000"/>
                <w:sz w:val="28"/>
                <w:szCs w:val="28"/>
                <w:lang w:eastAsia="en-US"/>
              </w:rPr>
            </w:r>
            <w:r>
              <w:rPr>
                <w:color w:val="000000"/>
                <w:sz w:val="28"/>
                <w:szCs w:val="28"/>
                <w:lang w:eastAsia="en-US"/>
              </w:rPr>
            </w:r>
          </w:p>
          <w:p>
            <w:pPr>
              <w:pStyle w:val="67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(по мере необходи-мости)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236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highlight w:val="yellow"/>
                <w:lang w:eastAsia="en-US"/>
              </w:rPr>
            </w:r>
            <w:r>
              <w:rPr>
                <w:sz w:val="28"/>
                <w:szCs w:val="28"/>
                <w:highlight w:val="yellow"/>
                <w:lang w:eastAsia="en-US"/>
              </w:rPr>
            </w:r>
          </w:p>
        </w:tc>
      </w:tr>
      <w:tr>
        <w:tblPrEx/>
        <w:trPr>
          <w:trHeight w:val="11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10) сведения о способах получения консультаций по вопросам соблюдения обязательных требований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236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highlight w:val="yellow"/>
                <w:lang w:eastAsia="en-US"/>
              </w:rPr>
            </w:r>
            <w:r>
              <w:rPr>
                <w:sz w:val="28"/>
                <w:szCs w:val="28"/>
                <w:highlight w:val="yellow"/>
                <w:lang w:eastAsia="en-US"/>
              </w:rPr>
            </w:r>
          </w:p>
        </w:tc>
      </w:tr>
      <w:tr>
        <w:tblPrEx/>
        <w:trPr>
          <w:trHeight w:val="5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) сведения о порядке досудебного обжалования решений контрольного органа, действий (бездействия) его должностных лиц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236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highlight w:val="yellow"/>
                <w:lang w:eastAsia="en-US"/>
              </w:rPr>
            </w:r>
            <w:r>
              <w:rPr>
                <w:sz w:val="28"/>
                <w:szCs w:val="28"/>
                <w:highlight w:val="yellow"/>
                <w:lang w:eastAsia="en-US"/>
              </w:rPr>
            </w:r>
          </w:p>
        </w:tc>
      </w:tr>
      <w:tr>
        <w:tblPrEx/>
        <w:trPr>
          <w:trHeight w:val="1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) доклады, содержащие результаты обобщения правопримените-льной практики контрольного органа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Align w:val="top"/>
            <w:vMerge w:val="restart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до 15.03.2025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236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highlight w:val="yellow"/>
                <w:lang w:eastAsia="en-US"/>
              </w:rPr>
            </w:r>
            <w:r>
              <w:rPr>
                <w:sz w:val="28"/>
                <w:szCs w:val="28"/>
                <w:highlight w:val="yellow"/>
                <w:lang w:eastAsia="en-US"/>
              </w:rPr>
            </w:r>
          </w:p>
        </w:tc>
      </w:tr>
      <w:tr>
        <w:tblPrEx/>
        <w:trPr>
          <w:trHeight w:val="6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) доклады о муниципальном контроле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236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highlight w:val="yellow"/>
                <w:lang w:eastAsia="en-US"/>
              </w:rPr>
            </w:r>
            <w:r>
              <w:rPr>
                <w:sz w:val="28"/>
                <w:szCs w:val="28"/>
                <w:highlight w:val="yellow"/>
                <w:lang w:eastAsia="en-US"/>
              </w:rPr>
            </w:r>
          </w:p>
        </w:tc>
      </w:tr>
      <w:tr>
        <w:tblPrEx/>
        <w:trPr>
          <w:trHeight w:val="19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) иные сведения, предусмотренные нормативными правовыми актами Российской Федерации, Алтайского края и муниципальными правовыми актами </w:t>
            </w:r>
            <w:r>
              <w:rPr>
                <w:sz w:val="28"/>
                <w:szCs w:val="28"/>
                <w:highlight w:val="yellow"/>
                <w:lang w:eastAsia="en-US"/>
              </w:rPr>
            </w:r>
            <w:r>
              <w:rPr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 течение года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мере необходи-мости)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236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highlight w:val="yellow"/>
                <w:lang w:eastAsia="en-US"/>
              </w:rPr>
            </w:r>
            <w:r>
              <w:rPr>
                <w:sz w:val="28"/>
                <w:szCs w:val="28"/>
                <w:highlight w:val="yellow"/>
                <w:lang w:eastAsia="en-US"/>
              </w:rPr>
            </w:r>
          </w:p>
        </w:tc>
      </w:tr>
      <w:tr>
        <w:tblPrEx/>
        <w:trPr>
          <w:trHeight w:val="6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Align w:val="top"/>
            <w:vMerge w:val="restart"/>
            <w:textDirection w:val="lrTb"/>
            <w:noWrap w:val="false"/>
          </w:tcPr>
          <w:p>
            <w:pPr>
              <w:pStyle w:val="672"/>
              <w:jc w:val="center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67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бобщение правоприменительной практики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подготовка проекта доклада, содержащего результаты обобщения правопримените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льной практики (далее – доклад о правопримените-льной практике)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6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до 01.02.202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правовой отдел,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коммунального хозяйства,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по строительству и архитектуре,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развитию предпринима-тельства и потребительскому рынку,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 xml:space="preserve">комитет по делам молодежи, культуре, физической культуре и спорту, отдел по работе с жилищным фондом</w:t>
            </w:r>
            <w:r>
              <w:rPr>
                <w:sz w:val="28"/>
                <w:szCs w:val="28"/>
                <w:highlight w:val="yellow"/>
                <w:lang w:eastAsia="en-US"/>
              </w:rPr>
            </w:r>
            <w:r>
              <w:rPr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236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20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размещение проекта доклада о правопримените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льной практике на официальном Интернет-сайте города Барнаула для публичного обсуждения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до 15.02.202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главный специалист-пресс-секретарь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highlight w:val="yellow"/>
                <w:lang w:eastAsia="en-US"/>
              </w:rPr>
            </w:r>
            <w:r>
              <w:rPr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236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20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pStyle w:val="6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азмещение доклада о правоприменительной практике на официальном Интернет-сайте города Барнаула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8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15.03.2025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236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20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pStyle w:val="6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одготовка ежегодного доклада о муниципальном контроле и размещение сведений, включенных в него, посредством подсистемы сбора отчетности, обеспечивающей монитор</w:t>
            </w:r>
            <w:r>
              <w:rPr>
                <w:sz w:val="28"/>
                <w:szCs w:val="28"/>
              </w:rPr>
              <w:t xml:space="preserve">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«Типовое облачное решение по автоматизации контрольной (надзорной) деятельности»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8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15.03.2025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236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20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pStyle w:val="6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азмещение ежегодного доклада о муниципал</w:t>
            </w:r>
            <w:r>
              <w:rPr>
                <w:sz w:val="28"/>
                <w:szCs w:val="28"/>
              </w:rPr>
              <w:t xml:space="preserve">ьном контроле на официальном Интернет-сайте города Барнаула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88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30.03.2025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236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проведение совещаний по вопросам обобщения правоприменительной практики осуществления муниципального контроля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Align w:val="top"/>
            <w:vMerge w:val="restart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 течение года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(не реже 1 раза в год) 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Align w:val="top"/>
            <w:vMerge w:val="restart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правовой отдел,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коммунального хозяйства,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по строительству и архитектуре,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развитию предпринима-тельства и потребительскому рынку,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 xml:space="preserve">комитет по делам молодежи, культуре, физической культуре и спорту, отдел по работе с жилищным фондом</w:t>
            </w:r>
            <w:r>
              <w:rPr>
                <w:sz w:val="28"/>
                <w:szCs w:val="28"/>
                <w:highlight w:val="yellow"/>
                <w:lang w:eastAsia="en-US"/>
              </w:rPr>
            </w:r>
            <w:r>
              <w:rPr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236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2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проведение учеб муниципальных служащих по вопросам обобщения правоприменительной практики осуществления муниципального контроля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Align w:val="center"/>
            <w:vMerge w:val="continue"/>
            <w:textDirection w:val="lrTb"/>
            <w:noWrap w:val="false"/>
          </w:tcPr>
          <w:p>
            <w:pPr>
              <w:pStyle w:val="672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highlight w:val="yellow"/>
                <w:lang w:eastAsia="en-US"/>
              </w:rPr>
            </w:r>
            <w:r>
              <w:rPr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236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after="200" w:line="276" w:lineRule="auto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highlight w:val="yellow"/>
                <w:lang w:eastAsia="en-US"/>
              </w:rPr>
            </w:r>
            <w:r>
              <w:rPr>
                <w:sz w:val="28"/>
                <w:szCs w:val="28"/>
                <w:highlight w:val="yellow"/>
                <w:lang w:eastAsia="en-US"/>
              </w:rPr>
            </w:r>
          </w:p>
        </w:tc>
      </w:tr>
      <w:tr>
        <w:tblPrEx/>
        <w:trPr>
          <w:trHeight w:val="2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объявление предостережения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объявление контролируемому лицу предостережения о недопустимости нарушения обязательных требований и предложение принять меры по обеспечению соблюдения обязательных требований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 течение года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(по мере необходи-мости)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 xml:space="preserve">инспекторы муниципального контроля</w:t>
            </w:r>
            <w:r>
              <w:rPr>
                <w:sz w:val="28"/>
                <w:szCs w:val="28"/>
                <w:highlight w:val="yellow"/>
                <w:lang w:eastAsia="en-US"/>
              </w:rPr>
            </w:r>
            <w:r>
              <w:rPr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236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6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консультирование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онсультирова-ние осуществляется муниципальными служащими по телефону, в письменной форме, посредством видеоконференц-связи,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6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разъяснение положений нормативных правовых актов, регламентирую-щих порядок осуществления муниципального контроля;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порядок обжалования действий (бездействия) должностных лиц администрации района. 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 случае, если в течение календарного года поступило 5 и более однотипных (по одним </w:t>
            </w:r>
            <w:r>
              <w:rPr>
                <w:sz w:val="28"/>
                <w:szCs w:val="28"/>
              </w:rPr>
              <w:t xml:space="preserve">и тем же вопросам) обращений контролируемых лиц и их представителей по указанным вопросам, консультирова-ние осуществляется посредствам размещения на официальном сайте в сети «Интернет» письменного разъяснения, подписанного уполномоченным должностным лицом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 течение года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(по мере необходи-мости)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управление коммунального хозяйства,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по строительству и архитектуре,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развитию предпринима-тельства и потребительскому рынку,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комитет по делам молодежи, культуре, физической культуре и спорту, отдел по работе с жилищным фондом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236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5.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Профилактический визит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проведение профилактичес-</w:t>
            </w:r>
            <w:r>
              <w:rPr>
                <w:sz w:val="28"/>
                <w:szCs w:val="28"/>
              </w:rPr>
              <w:t xml:space="preserve">кой беседы по месту осуществления деятельности контролируемого лица либо путем использования видео-конференц-связи, с  целью информирования об обязательных требованиях, предъявляемых к его деятельности либо к принадлежащим ему объектам контроля, их соответ</w:t>
            </w:r>
            <w:r>
              <w:rPr>
                <w:sz w:val="28"/>
                <w:szCs w:val="28"/>
              </w:rPr>
              <w:t xml:space="preserve">ствии критериям риска, основаниях и о рекомендуемых способах снижения категории риска, о видах, содержании и об интенсивности контрольных (надзорных) мероприятий, проводимых в отношении объекта контроля исходя из отнесения к соответствующей категории риска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март,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июнь,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сентябрь,</w:t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декабрь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 xml:space="preserve">инспекторы муниципального контроля</w:t>
            </w:r>
            <w:r>
              <w:rPr>
                <w:sz w:val="28"/>
                <w:szCs w:val="28"/>
                <w:highlight w:val="yellow"/>
                <w:lang w:eastAsia="en-US"/>
              </w:rPr>
            </w:r>
            <w:r>
              <w:rPr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236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pStyle w:val="69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Показатели результативности и эффективности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рограммы профилактики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Отчетные показатели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рограммы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контроль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включа</w:t>
      </w:r>
      <w:r>
        <w:rPr>
          <w:sz w:val="28"/>
          <w:szCs w:val="28"/>
        </w:rPr>
        <w:t xml:space="preserve">ют в себя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ind w:firstLine="709"/>
        <w:jc w:val="both"/>
        <w:shd w:val="clear" w:color="auto" w:fill="ffffff"/>
        <w:tabs>
          <w:tab w:val="left" w:pos="8222" w:leader="none"/>
        </w:tabs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outlineLvl w:val="2"/>
      </w:pP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- долю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субъектов. 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</w:p>
    <w:p>
      <w:pPr>
        <w:pStyle w:val="672"/>
        <w:ind w:firstLine="709"/>
        <w:jc w:val="both"/>
        <w:shd w:val="clear" w:color="auto" w:fill="ffffff"/>
        <w:tabs>
          <w:tab w:val="left" w:pos="8222" w:leader="none"/>
        </w:tabs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outlineLvl w:val="2"/>
      </w:pP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</w:p>
    <w:p>
      <w:pPr>
        <w:pStyle w:val="672"/>
        <w:ind w:firstLine="709"/>
        <w:jc w:val="both"/>
        <w:shd w:val="clear" w:color="auto" w:fill="ffffff"/>
        <w:tabs>
          <w:tab w:val="left" w:pos="8222" w:leader="none"/>
        </w:tabs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outlineLvl w:val="2"/>
      </w:pP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- дол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ю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 профилактических мероприятий в объеме контрольных мероприятий. 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</w:p>
    <w:p>
      <w:pPr>
        <w:pStyle w:val="672"/>
        <w:ind w:firstLine="708"/>
        <w:jc w:val="both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Показатель рассчитывается как отношение количества проведенных профилактических мероприятий к количеству про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веденных контрольных мероприятий. 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</w:p>
    <w:p>
      <w:pPr>
        <w:pStyle w:val="672"/>
        <w:ind w:firstLine="708"/>
        <w:jc w:val="both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</w:p>
    <w:p>
      <w:pPr>
        <w:pStyle w:val="672"/>
        <w:ind w:firstLine="708"/>
        <w:jc w:val="both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</w:p>
    <w:p>
      <w:pPr>
        <w:pStyle w:val="672"/>
        <w:ind w:firstLine="708"/>
        <w:jc w:val="both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</w:p>
    <w:p>
      <w:pPr>
        <w:pStyle w:val="672"/>
        <w:ind w:firstLine="708"/>
        <w:jc w:val="both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</w:p>
    <w:p>
      <w:pPr>
        <w:pStyle w:val="672"/>
        <w:ind w:firstLine="708"/>
        <w:jc w:val="both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</w:p>
    <w:p>
      <w:pPr>
        <w:pStyle w:val="672"/>
        <w:ind w:firstLine="708"/>
        <w:jc w:val="both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</w:p>
    <w:p>
      <w:pPr>
        <w:pStyle w:val="672"/>
        <w:ind w:firstLine="708"/>
        <w:jc w:val="both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</w:p>
    <w:p>
      <w:pPr>
        <w:pStyle w:val="672"/>
        <w:ind w:firstLine="708"/>
        <w:jc w:val="both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</w:p>
    <w:p>
      <w:pPr>
        <w:pStyle w:val="672"/>
        <w:ind w:firstLine="708"/>
        <w:jc w:val="both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</w:p>
    <w:p>
      <w:pPr>
        <w:pStyle w:val="672"/>
        <w:ind w:firstLine="708"/>
        <w:jc w:val="both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</w:p>
    <w:p>
      <w:pPr>
        <w:pStyle w:val="672"/>
        <w:ind w:firstLine="708"/>
        <w:jc w:val="both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</w:p>
    <w:p>
      <w:pPr>
        <w:pStyle w:val="672"/>
        <w:ind w:firstLine="708"/>
        <w:jc w:val="both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</w:p>
    <w:p>
      <w:pPr>
        <w:pStyle w:val="672"/>
        <w:ind w:firstLine="708"/>
        <w:jc w:val="both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</w:p>
    <w:p>
      <w:pPr>
        <w:pStyle w:val="672"/>
        <w:ind w:firstLine="708"/>
        <w:jc w:val="both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</w:p>
    <w:p>
      <w:pPr>
        <w:pStyle w:val="672"/>
        <w:ind w:firstLine="708"/>
        <w:jc w:val="both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</w:p>
    <w:p>
      <w:pPr>
        <w:pStyle w:val="672"/>
        <w:ind w:firstLine="708"/>
        <w:jc w:val="both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</w:p>
    <w:p>
      <w:pPr>
        <w:pStyle w:val="672"/>
        <w:ind w:firstLine="708"/>
        <w:jc w:val="both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</w:p>
    <w:p>
      <w:pPr>
        <w:pStyle w:val="672"/>
        <w:ind w:firstLine="708"/>
        <w:jc w:val="both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</w:p>
    <w:p>
      <w:pPr>
        <w:pStyle w:val="672"/>
        <w:ind w:firstLine="708"/>
        <w:jc w:val="both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</w:p>
    <w:p>
      <w:pPr>
        <w:pStyle w:val="672"/>
        <w:ind w:firstLine="708"/>
        <w:jc w:val="both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</w:p>
    <w:p>
      <w:pPr>
        <w:pStyle w:val="672"/>
        <w:ind w:firstLine="708"/>
        <w:jc w:val="both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</w:p>
    <w:p>
      <w:pPr>
        <w:pStyle w:val="672"/>
        <w:ind w:firstLine="708"/>
        <w:jc w:val="both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3"/>
      <w:rPr>
        <w:rStyle w:val="684"/>
      </w:rPr>
      <w:framePr w:wrap="around" w:vAnchor="text" w:hAnchor="margin" w:xAlign="right" w:y="1"/>
    </w:pPr>
    <w:r>
      <w:rPr>
        <w:rStyle w:val="684"/>
      </w:rPr>
      <w:fldChar w:fldCharType="begin"/>
    </w:r>
    <w:r>
      <w:rPr>
        <w:rStyle w:val="684"/>
      </w:rPr>
      <w:instrText xml:space="preserve">PAGE  </w:instrText>
    </w:r>
    <w:r>
      <w:rPr>
        <w:rStyle w:val="684"/>
      </w:rPr>
      <w:fldChar w:fldCharType="separate"/>
    </w:r>
    <w:r>
      <w:rPr>
        <w:rStyle w:val="684"/>
      </w:rPr>
      <w:t xml:space="preserve">14</w:t>
    </w:r>
    <w:r>
      <w:rPr>
        <w:rStyle w:val="684"/>
      </w:rPr>
      <w:fldChar w:fldCharType="end"/>
    </w:r>
    <w:r>
      <w:rPr>
        <w:rStyle w:val="684"/>
      </w:rPr>
    </w:r>
    <w:r>
      <w:rPr>
        <w:rStyle w:val="684"/>
      </w:rPr>
    </w:r>
  </w:p>
  <w:p>
    <w:pPr>
      <w:pStyle w:val="683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3"/>
      <w:rPr>
        <w:rStyle w:val="684"/>
      </w:rPr>
      <w:framePr w:wrap="around" w:vAnchor="text" w:hAnchor="margin" w:xAlign="right" w:y="1"/>
    </w:pPr>
    <w:r>
      <w:rPr>
        <w:rStyle w:val="684"/>
      </w:rPr>
      <w:fldChar w:fldCharType="begin"/>
    </w:r>
    <w:r>
      <w:rPr>
        <w:rStyle w:val="684"/>
      </w:rPr>
      <w:instrText xml:space="preserve">PAGE  </w:instrText>
    </w:r>
    <w:r>
      <w:rPr>
        <w:rStyle w:val="684"/>
      </w:rPr>
      <w:fldChar w:fldCharType="end"/>
    </w:r>
    <w:r>
      <w:rPr>
        <w:rStyle w:val="684"/>
      </w:rPr>
    </w:r>
    <w:r>
      <w:rPr>
        <w:rStyle w:val="684"/>
      </w:rPr>
    </w:r>
  </w:p>
  <w:p>
    <w:pPr>
      <w:pStyle w:val="683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928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79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8" w:hanging="360"/>
        <w:tabs>
          <w:tab w:val="num" w:pos="64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6"/>
      <w:numFmt w:val="decimal"/>
      <w:isLgl w:val="false"/>
      <w:suff w:val="tab"/>
      <w:lvlText w:val="%1."/>
      <w:lvlJc w:val="left"/>
      <w:pPr>
        <w:ind w:left="942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"/>
      <w:lvlJc w:val="left"/>
      <w:pPr>
        <w:ind w:left="1070" w:hanging="360"/>
        <w:tabs>
          <w:tab w:val="num" w:pos="1070" w:leader="none"/>
        </w:tabs>
      </w:pPr>
      <w:rPr>
        <w:rFonts w:ascii="Wingdings" w:hAnsi="Wingdings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5" w:hanging="525"/>
        <w:tabs>
          <w:tab w:val="num" w:pos="8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2"/>
    <w:next w:val="67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2"/>
    <w:next w:val="67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2"/>
    <w:next w:val="67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2"/>
    <w:next w:val="67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2"/>
    <w:next w:val="67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2"/>
    <w:next w:val="67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2"/>
    <w:next w:val="67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2"/>
    <w:next w:val="67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2"/>
    <w:next w:val="67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2"/>
    <w:next w:val="67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2"/>
    <w:next w:val="67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2"/>
    <w:next w:val="67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2"/>
    <w:next w:val="67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72"/>
    <w:next w:val="6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2"/>
    <w:next w:val="67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2"/>
    <w:next w:val="67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2"/>
    <w:next w:val="67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2"/>
    <w:next w:val="67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2"/>
    <w:next w:val="67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2"/>
    <w:next w:val="67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2"/>
    <w:next w:val="67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2"/>
    <w:next w:val="67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2"/>
    <w:next w:val="67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2"/>
    <w:next w:val="672"/>
    <w:uiPriority w:val="99"/>
    <w:unhideWhenUsed/>
    <w:pPr>
      <w:spacing w:after="0" w:afterAutospacing="0"/>
    </w:pPr>
  </w:style>
  <w:style w:type="paragraph" w:styleId="672" w:default="1">
    <w:name w:val="Normal"/>
    <w:next w:val="672"/>
    <w:link w:val="672"/>
    <w:qFormat/>
    <w:rPr>
      <w:sz w:val="24"/>
      <w:szCs w:val="24"/>
      <w:lang w:val="ru-RU" w:eastAsia="ru-RU" w:bidi="ar-SA"/>
    </w:rPr>
  </w:style>
  <w:style w:type="paragraph" w:styleId="673">
    <w:name w:val="Заголовок 1"/>
    <w:basedOn w:val="672"/>
    <w:next w:val="672"/>
    <w:link w:val="672"/>
    <w:qFormat/>
    <w:pPr>
      <w:keepNext/>
      <w:outlineLvl w:val="0"/>
    </w:pPr>
    <w:rPr>
      <w:sz w:val="28"/>
    </w:rPr>
  </w:style>
  <w:style w:type="paragraph" w:styleId="674">
    <w:name w:val="Заголовок 2"/>
    <w:basedOn w:val="672"/>
    <w:next w:val="672"/>
    <w:link w:val="672"/>
    <w:qFormat/>
    <w:pPr>
      <w:jc w:val="center"/>
      <w:keepNext/>
      <w:outlineLvl w:val="1"/>
    </w:pPr>
    <w:rPr>
      <w:sz w:val="40"/>
    </w:rPr>
  </w:style>
  <w:style w:type="paragraph" w:styleId="675">
    <w:name w:val="Заголовок 3"/>
    <w:basedOn w:val="672"/>
    <w:next w:val="672"/>
    <w:link w:val="696"/>
    <w:qFormat/>
    <w:pPr>
      <w:jc w:val="center"/>
      <w:keepNext/>
      <w:outlineLvl w:val="2"/>
    </w:pPr>
    <w:rPr>
      <w:sz w:val="32"/>
      <w:lang w:val="en-US" w:eastAsia="en-US"/>
    </w:rPr>
  </w:style>
  <w:style w:type="paragraph" w:styleId="676">
    <w:name w:val="Заголовок 4"/>
    <w:basedOn w:val="672"/>
    <w:next w:val="672"/>
    <w:link w:val="672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77">
    <w:name w:val="Заголовок 7"/>
    <w:basedOn w:val="672"/>
    <w:next w:val="672"/>
    <w:link w:val="694"/>
    <w:qFormat/>
    <w:pPr>
      <w:keepNext/>
      <w:outlineLvl w:val="6"/>
    </w:pPr>
    <w:rPr>
      <w:sz w:val="28"/>
      <w:szCs w:val="20"/>
      <w:lang w:val="en-US" w:eastAsia="en-US"/>
    </w:rPr>
  </w:style>
  <w:style w:type="character" w:styleId="678">
    <w:name w:val="Основной шрифт абзаца"/>
    <w:next w:val="678"/>
    <w:link w:val="672"/>
    <w:semiHidden/>
  </w:style>
  <w:style w:type="table" w:styleId="679">
    <w:name w:val="Обычная таблица"/>
    <w:next w:val="679"/>
    <w:link w:val="672"/>
    <w:semiHidden/>
    <w:tblPr/>
  </w:style>
  <w:style w:type="numbering" w:styleId="680">
    <w:name w:val="Нет списка"/>
    <w:next w:val="680"/>
    <w:link w:val="672"/>
    <w:semiHidden/>
  </w:style>
  <w:style w:type="paragraph" w:styleId="681">
    <w:name w:val="Основной текст"/>
    <w:basedOn w:val="672"/>
    <w:next w:val="681"/>
    <w:link w:val="693"/>
    <w:rPr>
      <w:sz w:val="28"/>
      <w:lang w:val="en-US" w:eastAsia="en-US"/>
    </w:rPr>
  </w:style>
  <w:style w:type="paragraph" w:styleId="682">
    <w:name w:val="Текст выноски"/>
    <w:basedOn w:val="672"/>
    <w:next w:val="682"/>
    <w:link w:val="672"/>
    <w:semiHidden/>
    <w:rPr>
      <w:rFonts w:ascii="Tahoma" w:hAnsi="Tahoma" w:cs="Tahoma"/>
      <w:sz w:val="16"/>
      <w:szCs w:val="16"/>
    </w:rPr>
  </w:style>
  <w:style w:type="paragraph" w:styleId="683">
    <w:name w:val="Верхний колонтитул"/>
    <w:basedOn w:val="672"/>
    <w:next w:val="683"/>
    <w:link w:val="672"/>
    <w:pPr>
      <w:tabs>
        <w:tab w:val="center" w:pos="4677" w:leader="none"/>
        <w:tab w:val="right" w:pos="9355" w:leader="none"/>
      </w:tabs>
    </w:pPr>
  </w:style>
  <w:style w:type="character" w:styleId="684">
    <w:name w:val="Номер страницы"/>
    <w:basedOn w:val="678"/>
    <w:next w:val="684"/>
    <w:link w:val="672"/>
  </w:style>
  <w:style w:type="paragraph" w:styleId="685">
    <w:name w:val="Основной текст с отступом"/>
    <w:basedOn w:val="672"/>
    <w:next w:val="685"/>
    <w:link w:val="672"/>
    <w:pPr>
      <w:ind w:left="283"/>
      <w:spacing w:after="120"/>
    </w:pPr>
  </w:style>
  <w:style w:type="paragraph" w:styleId="686">
    <w:name w:val="Основной текст 2"/>
    <w:basedOn w:val="672"/>
    <w:next w:val="686"/>
    <w:link w:val="687"/>
    <w:pPr>
      <w:spacing w:after="120" w:line="480" w:lineRule="auto"/>
    </w:pPr>
    <w:rPr>
      <w:lang w:val="en-US" w:eastAsia="en-US"/>
    </w:rPr>
  </w:style>
  <w:style w:type="character" w:styleId="687">
    <w:name w:val="Основной текст 2 Знак"/>
    <w:next w:val="687"/>
    <w:link w:val="686"/>
    <w:rPr>
      <w:sz w:val="24"/>
      <w:szCs w:val="24"/>
    </w:rPr>
  </w:style>
  <w:style w:type="paragraph" w:styleId="688">
    <w:name w:val="Нижний колонтитул"/>
    <w:basedOn w:val="672"/>
    <w:next w:val="688"/>
    <w:link w:val="68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89">
    <w:name w:val="Нижний колонтитул Знак"/>
    <w:next w:val="689"/>
    <w:link w:val="688"/>
    <w:rPr>
      <w:sz w:val="24"/>
      <w:szCs w:val="24"/>
    </w:rPr>
  </w:style>
  <w:style w:type="paragraph" w:styleId="690">
    <w:name w:val="Схема документа"/>
    <w:basedOn w:val="672"/>
    <w:next w:val="690"/>
    <w:link w:val="691"/>
    <w:rPr>
      <w:rFonts w:ascii="Tahoma" w:hAnsi="Tahoma"/>
      <w:sz w:val="16"/>
      <w:szCs w:val="16"/>
      <w:lang w:val="en-US" w:eastAsia="en-US"/>
    </w:rPr>
  </w:style>
  <w:style w:type="character" w:styleId="691">
    <w:name w:val="Схема документа Знак"/>
    <w:next w:val="691"/>
    <w:link w:val="690"/>
    <w:rPr>
      <w:rFonts w:ascii="Tahoma" w:hAnsi="Tahoma" w:cs="Tahoma"/>
      <w:sz w:val="16"/>
      <w:szCs w:val="16"/>
    </w:rPr>
  </w:style>
  <w:style w:type="character" w:styleId="692">
    <w:name w:val="Гиперссылка"/>
    <w:next w:val="692"/>
    <w:link w:val="672"/>
    <w:uiPriority w:val="99"/>
    <w:unhideWhenUsed/>
    <w:rPr>
      <w:color w:val="0000ff"/>
      <w:u w:val="single"/>
    </w:rPr>
  </w:style>
  <w:style w:type="character" w:styleId="693">
    <w:name w:val="Основной текст Знак"/>
    <w:next w:val="693"/>
    <w:link w:val="681"/>
    <w:rPr>
      <w:sz w:val="28"/>
      <w:szCs w:val="24"/>
    </w:rPr>
  </w:style>
  <w:style w:type="character" w:styleId="694">
    <w:name w:val="Заголовок 7 Знак"/>
    <w:next w:val="694"/>
    <w:link w:val="677"/>
    <w:rPr>
      <w:sz w:val="28"/>
    </w:rPr>
  </w:style>
  <w:style w:type="paragraph" w:styleId="695">
    <w:name w:val="Обычный (веб)"/>
    <w:basedOn w:val="672"/>
    <w:next w:val="695"/>
    <w:link w:val="672"/>
    <w:uiPriority w:val="99"/>
    <w:unhideWhenUsed/>
    <w:pPr>
      <w:spacing w:before="100" w:beforeAutospacing="1" w:after="100" w:afterAutospacing="1"/>
    </w:pPr>
  </w:style>
  <w:style w:type="character" w:styleId="696">
    <w:name w:val="Заголовок 3 Знак"/>
    <w:next w:val="696"/>
    <w:link w:val="675"/>
    <w:rPr>
      <w:sz w:val="32"/>
      <w:szCs w:val="24"/>
    </w:rPr>
  </w:style>
  <w:style w:type="paragraph" w:styleId="697">
    <w:name w:val="ConsPlusNormal"/>
    <w:next w:val="697"/>
    <w:link w:val="672"/>
    <w:pPr>
      <w:widowControl w:val="off"/>
    </w:pPr>
    <w:rPr>
      <w:sz w:val="24"/>
      <w:lang w:val="ru-RU" w:eastAsia="ru-RU" w:bidi="ar-SA"/>
    </w:rPr>
  </w:style>
  <w:style w:type="paragraph" w:styleId="698">
    <w:name w:val="ConsPlusTitle"/>
    <w:next w:val="698"/>
    <w:link w:val="672"/>
    <w:pPr>
      <w:widowControl w:val="off"/>
    </w:pPr>
    <w:rPr>
      <w:b/>
      <w:sz w:val="24"/>
      <w:lang w:val="ru-RU" w:eastAsia="ru-RU" w:bidi="ar-SA"/>
    </w:rPr>
  </w:style>
  <w:style w:type="paragraph" w:styleId="699">
    <w:name w:val="Абзац списка"/>
    <w:basedOn w:val="672"/>
    <w:next w:val="699"/>
    <w:link w:val="67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00">
    <w:name w:val="Default"/>
    <w:next w:val="700"/>
    <w:link w:val="672"/>
    <w:rPr>
      <w:rFonts w:ascii="Arial" w:hAnsi="Arial" w:cs="Arial"/>
      <w:color w:val="000000"/>
      <w:sz w:val="24"/>
      <w:szCs w:val="24"/>
      <w:lang w:val="ru-RU" w:eastAsia="ru-RU" w:bidi="ar-SA"/>
    </w:rPr>
  </w:style>
  <w:style w:type="character" w:styleId="701">
    <w:name w:val="Гипертекстовая ссылка"/>
    <w:next w:val="701"/>
    <w:link w:val="672"/>
    <w:uiPriority w:val="99"/>
    <w:rPr>
      <w:color w:val="106bbe"/>
    </w:rPr>
  </w:style>
  <w:style w:type="table" w:styleId="702">
    <w:name w:val="Сетка таблицы"/>
    <w:basedOn w:val="679"/>
    <w:next w:val="702"/>
    <w:link w:val="672"/>
    <w:tblPr/>
  </w:style>
  <w:style w:type="character" w:styleId="3177" w:default="1">
    <w:name w:val="Default Paragraph Font"/>
    <w:uiPriority w:val="1"/>
    <w:semiHidden/>
    <w:unhideWhenUsed/>
  </w:style>
  <w:style w:type="numbering" w:styleId="3178" w:default="1">
    <w:name w:val="No List"/>
    <w:uiPriority w:val="99"/>
    <w:semiHidden/>
    <w:unhideWhenUsed/>
  </w:style>
  <w:style w:type="table" w:styleId="31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Комитет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ЗЕМЕЛЬНЫМ РЕСУРСАМ И ЗЕМЕЛЕУСТРОЙСТВУ</dc:title>
  <dc:creator>Болгова</dc:creator>
  <cp:revision>8</cp:revision>
  <dcterms:created xsi:type="dcterms:W3CDTF">2024-10-14T03:01:00Z</dcterms:created>
  <dcterms:modified xsi:type="dcterms:W3CDTF">2024-12-12T08:34:01Z</dcterms:modified>
  <cp:version>983040</cp:version>
</cp:coreProperties>
</file>