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2"/>
        <w:ind w:left="5670"/>
        <w:jc w:val="lef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</w:p>
    <w:p>
      <w:pPr>
        <w:pStyle w:val="712"/>
        <w:ind w:left="5670"/>
        <w:jc w:val="lef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</w:p>
    <w:p>
      <w:pPr>
        <w:pStyle w:val="712"/>
        <w:ind w:left="5670"/>
        <w:jc w:val="lef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</w:p>
    <w:p>
      <w:pPr>
        <w:pStyle w:val="712"/>
        <w:ind w:left="5670"/>
        <w:jc w:val="lef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</w:t>
      </w:r>
      <w:r>
        <w:rPr>
          <w:sz w:val="28"/>
          <w:szCs w:val="28"/>
        </w:rPr>
      </w:r>
    </w:p>
    <w:p>
      <w:pPr>
        <w:pStyle w:val="712"/>
        <w:ind w:left="5670"/>
        <w:jc w:val="lef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 28.11.2024 №856</w:t>
      </w:r>
      <w:r>
        <w:rPr>
          <w:sz w:val="28"/>
          <w:szCs w:val="28"/>
        </w:rPr>
      </w:r>
    </w:p>
    <w:p>
      <w:pPr>
        <w:ind w:left="4820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Ленинского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города Барнаула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полномочий администратора доходов бюджета города Барнаула по взысканию дебиторской задолженности по платежам в бюджет, пеням и штрафам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ним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еализации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Ленинского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(далее- администрация)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полномочий администратора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Барнаула (далее – бюджет города) </w:t>
      </w:r>
      <w:r>
        <w:rPr>
          <w:rFonts w:ascii="Times New Roman" w:hAnsi="Times New Roman" w:cs="Times New Roman"/>
          <w:sz w:val="28"/>
          <w:szCs w:val="28"/>
        </w:rPr>
        <w:t xml:space="preserve">по взысканию 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, пеням и штрафам по ним</w:t>
      </w:r>
      <w:r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>
        <w:rPr>
          <w:rFonts w:ascii="Times New Roman" w:hAnsi="Times New Roman" w:cs="Times New Roman"/>
          <w:sz w:val="28"/>
          <w:szCs w:val="28"/>
        </w:rPr>
        <w:t xml:space="preserve">, являющимся источниками формирования доходов бюджета города </w:t>
      </w:r>
      <w:r>
        <w:rPr>
          <w:rFonts w:ascii="Times New Roman" w:hAnsi="Times New Roman" w:cs="Times New Roman"/>
          <w:sz w:val="28"/>
          <w:szCs w:val="28"/>
        </w:rPr>
        <w:t xml:space="preserve">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дебиторская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по доходам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ответственными за работу с дебиторской задолженностью </w:t>
      </w:r>
      <w:r>
        <w:rPr>
          <w:rFonts w:ascii="Times New Roman" w:hAnsi="Times New Roman" w:cs="Times New Roman"/>
          <w:sz w:val="28"/>
          <w:szCs w:val="28"/>
        </w:rPr>
        <w:t xml:space="preserve">по доходам </w:t>
      </w:r>
      <w:r>
        <w:rPr>
          <w:rFonts w:ascii="Times New Roman" w:hAnsi="Times New Roman" w:cs="Times New Roman"/>
          <w:sz w:val="28"/>
          <w:szCs w:val="28"/>
        </w:rPr>
        <w:t xml:space="preserve">(далее – ответственный исполнитель), являются:</w:t>
      </w:r>
      <w:r>
        <w:rPr>
          <w:rFonts w:ascii="Times New Roman" w:hAnsi="Times New Roman" w:cs="Times New Roman"/>
          <w:sz w:val="28"/>
          <w:szCs w:val="28"/>
        </w:rPr>
        <w:t xml:space="preserve"> управление по строительству и архитектуре, комитет по развитию предпринимательства и потребительскому рынку, административная комиссия при администрации города Барнаула по Ленинскому району города Барнаула, правовой отдел, отдел бухгалтерии.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правление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строительству и архитектуре</w:t>
      </w:r>
      <w:r>
        <w:rPr>
          <w:rFonts w:ascii="Times New Roman" w:hAnsi="Times New Roman" w:cs="Times New Roman"/>
          <w:sz w:val="28"/>
          <w:szCs w:val="28"/>
        </w:rPr>
        <w:t xml:space="preserve"> является 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за выполнение мероприятий,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3, 6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егламента по доходам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к Регламенту;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омитет по развитию предпринимательства и потребительскому рынку</w:t>
      </w:r>
      <w:r>
        <w:rPr>
          <w:rFonts w:ascii="Times New Roman" w:hAnsi="Times New Roman" w:cs="Times New Roman"/>
          <w:sz w:val="28"/>
          <w:szCs w:val="28"/>
        </w:rPr>
        <w:t xml:space="preserve"> является 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за выполнение мероприятий, предусмотренных пунктами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3, 6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егламента по доходам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комиссия при администрации города Барнаула по Ленинскому району города Барнаула </w:t>
      </w:r>
      <w:r>
        <w:rPr>
          <w:rFonts w:ascii="Times New Roman" w:hAnsi="Times New Roman" w:cs="Times New Roman"/>
          <w:sz w:val="28"/>
          <w:szCs w:val="28"/>
        </w:rPr>
        <w:t xml:space="preserve">является 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за выполнение мероприятий, предусмотренных пунктами 2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6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егламента по доходам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к Регламенту.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равовой отдел</w:t>
      </w:r>
      <w:r>
        <w:rPr>
          <w:rFonts w:ascii="Times New Roman" w:hAnsi="Times New Roman" w:cs="Times New Roman"/>
          <w:sz w:val="28"/>
          <w:szCs w:val="28"/>
        </w:rPr>
        <w:t xml:space="preserve"> является 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за выполнение мероприятий,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, 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егламента по доходам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приложения к Регламенту.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тдел бухгалтерии</w:t>
      </w:r>
      <w:r>
        <w:rPr>
          <w:rFonts w:ascii="Times New Roman" w:hAnsi="Times New Roman" w:cs="Times New Roman"/>
          <w:sz w:val="28"/>
          <w:szCs w:val="28"/>
        </w:rPr>
        <w:t xml:space="preserve"> является ответственным </w:t>
      </w:r>
      <w:r>
        <w:rPr>
          <w:rFonts w:ascii="Times New Roman" w:hAnsi="Times New Roman" w:cs="Times New Roman"/>
          <w:sz w:val="28"/>
          <w:szCs w:val="28"/>
        </w:rPr>
        <w:t xml:space="preserve">за выполнение мероприятий, предусмотренных пунктами 2</w:t>
      </w:r>
      <w:r>
        <w:rPr>
          <w:rFonts w:ascii="Times New Roman" w:hAnsi="Times New Roman" w:cs="Times New Roman"/>
          <w:sz w:val="28"/>
          <w:szCs w:val="28"/>
        </w:rPr>
        <w:t xml:space="preserve">, 3, 6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егламента по доходам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3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Понятия и определения, используемые в настоящем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егламент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, понимаются в значени</w:t>
      </w:r>
      <w:r>
        <w:rPr>
          <w:rFonts w:ascii="Times New Roman" w:hAnsi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нормами</w:t>
      </w:r>
      <w:r>
        <w:rPr>
          <w:rFonts w:ascii="Times New Roman" w:hAnsi="Times New Roman" w:cs="Times New Roman"/>
          <w:sz w:val="28"/>
          <w:szCs w:val="28"/>
        </w:rPr>
        <w:t xml:space="preserve"> законо</w:t>
      </w:r>
      <w:r>
        <w:rPr>
          <w:rFonts w:ascii="Times New Roman" w:hAnsi="Times New Roman" w:cs="Times New Roman"/>
          <w:sz w:val="28"/>
          <w:szCs w:val="28"/>
        </w:rPr>
        <w:t xml:space="preserve">дательств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едерации</w:t>
      </w:r>
      <w:r>
        <w:rPr>
          <w:rFonts w:ascii="Times New Roman" w:hAnsi="Times New Roman" w:cs="Times New Roman"/>
          <w:sz w:val="28"/>
          <w:szCs w:val="28"/>
        </w:rPr>
        <w:t xml:space="preserve">, если иное прямо не оговорено в настоящем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егламент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недопущению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росроченной 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по доходам</w:t>
      </w:r>
      <w:r>
        <w:rPr>
          <w:rFonts w:ascii="Times New Roman" w:hAnsi="Times New Roman" w:cs="Times New Roman"/>
          <w:sz w:val="28"/>
          <w:szCs w:val="28"/>
        </w:rPr>
        <w:t xml:space="preserve">, выявлению факторов, влияющих на образование просроченной 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доходам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 xml:space="preserve"> в порядке и сроки, предусмотренные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или договором (муниципальным контрактом, соглашением)</w:t>
      </w:r>
      <w:r>
        <w:rPr>
          <w:rFonts w:ascii="Times New Roman" w:hAnsi="Times New Roman" w:cs="Times New Roman"/>
          <w:sz w:val="28"/>
          <w:szCs w:val="28"/>
        </w:rPr>
        <w:t xml:space="preserve">, а в случае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если такие сроки не установлены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реже одного раза в квартал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следующие мероприятия по недопущению образования просроченной дебиторской задолженности по доходам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выявлению факторов, влияющих на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образование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К</w:t>
      </w:r>
      <w:r>
        <w:rPr>
          <w:rFonts w:ascii="Times New Roman" w:hAnsi="Times New Roman" w:cs="Times New Roman"/>
          <w:sz w:val="28"/>
          <w:szCs w:val="28"/>
        </w:rPr>
        <w:t xml:space="preserve">онтрол</w:t>
      </w:r>
      <w:r>
        <w:rPr>
          <w:rFonts w:ascii="Times New Roman" w:hAnsi="Times New Roman" w:cs="Times New Roman"/>
          <w:sz w:val="28"/>
          <w:szCs w:val="28"/>
        </w:rPr>
        <w:t xml:space="preserve">ирует</w:t>
      </w:r>
      <w:r>
        <w:rPr>
          <w:rFonts w:ascii="Times New Roman" w:hAnsi="Times New Roman" w:cs="Times New Roman"/>
          <w:sz w:val="28"/>
          <w:szCs w:val="28"/>
        </w:rPr>
        <w:t xml:space="preserve"> правильность исчисления, полнот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и своевременность осуществления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, пен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и штраф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ним, </w:t>
      </w:r>
      <w:r>
        <w:rPr>
          <w:rFonts w:ascii="Times New Roman" w:hAnsi="Times New Roman" w:cs="Times New Roman"/>
          <w:sz w:val="28"/>
          <w:szCs w:val="28"/>
        </w:rPr>
        <w:t xml:space="preserve">по закрепленным ис</w:t>
      </w:r>
      <w:r>
        <w:rPr>
          <w:rFonts w:ascii="Times New Roman" w:hAnsi="Times New Roman" w:cs="Times New Roman"/>
          <w:sz w:val="28"/>
          <w:szCs w:val="28"/>
        </w:rPr>
        <w:t xml:space="preserve">точникам доходов бюджета города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</w:t>
      </w:r>
      <w:r>
        <w:rPr>
          <w:rFonts w:ascii="Times New Roman" w:hAnsi="Times New Roman" w:cs="Times New Roman"/>
          <w:sz w:val="28"/>
          <w:szCs w:val="28"/>
        </w:rPr>
        <w:t xml:space="preserve"> контролирует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3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фактическ</w:t>
      </w:r>
      <w:r>
        <w:rPr>
          <w:rFonts w:ascii="Times New Roman" w:hAnsi="Times New Roman" w:cs="Times New Roman"/>
          <w:sz w:val="28"/>
          <w:szCs w:val="28"/>
        </w:rPr>
        <w:t xml:space="preserve">ое</w:t>
      </w:r>
      <w:r>
        <w:rPr>
          <w:rFonts w:ascii="Times New Roman" w:hAnsi="Times New Roman" w:cs="Times New Roman"/>
          <w:sz w:val="28"/>
          <w:szCs w:val="28"/>
        </w:rPr>
        <w:t xml:space="preserve"> зачисление платежей в бюджет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 xml:space="preserve">в размерах и сроки, установленные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едерации</w:t>
      </w:r>
      <w:r>
        <w:rPr>
          <w:rFonts w:ascii="Times New Roman" w:hAnsi="Times New Roman" w:cs="Times New Roman"/>
          <w:sz w:val="28"/>
          <w:szCs w:val="28"/>
        </w:rPr>
        <w:t xml:space="preserve">, договором (</w:t>
      </w:r>
      <w:r>
        <w:rPr>
          <w:rFonts w:ascii="Times New Roman" w:hAnsi="Times New Roman" w:cs="Times New Roman"/>
          <w:sz w:val="28"/>
          <w:szCs w:val="28"/>
        </w:rPr>
        <w:t xml:space="preserve">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ным</w:t>
      </w:r>
      <w:r>
        <w:rPr>
          <w:rFonts w:ascii="Times New Roman" w:hAnsi="Times New Roman" w:cs="Times New Roman"/>
          <w:sz w:val="28"/>
          <w:szCs w:val="28"/>
        </w:rPr>
        <w:t xml:space="preserve"> контрактом, соглашением);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3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пог</w:t>
      </w:r>
      <w:r>
        <w:rPr>
          <w:rFonts w:ascii="Times New Roman" w:hAnsi="Times New Roman" w:cs="Times New Roman"/>
          <w:sz w:val="28"/>
          <w:szCs w:val="28"/>
        </w:rPr>
        <w:t xml:space="preserve">ашение (квитирование) начислений соответствующих платежей, являющихся источниками формирования доходов бюджета города, в Государственной информационной системе о государственных и муниципальных платежах, предусмотренной статьей 21.3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27.07.2010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ГИС ГМП);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3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, а также начисление процентов за предоставленную отсрочку или рассрочку и пени (штрафы) за просрочку уплаты платежей в бюджет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 xml:space="preserve">в порядке и случаях, предусмотренных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едерации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3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своевременное начисление неустойки (штрафов, пени);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3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своевременное составление первичных учетных документов, обосновывающих возникновение дебиторской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по доходам </w:t>
      </w:r>
      <w:r>
        <w:rPr>
          <w:rFonts w:ascii="Times New Roman" w:hAnsi="Times New Roman" w:cs="Times New Roman"/>
          <w:sz w:val="28"/>
          <w:szCs w:val="28"/>
        </w:rPr>
        <w:t xml:space="preserve">или оформляющих операции по ее увеличению (уменьшению), а также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своевременность </w:t>
      </w:r>
      <w:r>
        <w:rPr>
          <w:rFonts w:ascii="Times New Roman" w:hAnsi="Times New Roman" w:cs="Times New Roman"/>
          <w:sz w:val="28"/>
          <w:szCs w:val="28"/>
        </w:rPr>
        <w:t xml:space="preserve">передач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документов для отражения в бюджетном учете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отдел бухгалтерии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роводит инвентаризацию расчетов с должниками, в том числе в целях оценки ожидаемых результатов работы по взысканию дебиторской задолженности по доходам, признания 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по доходам</w:t>
      </w:r>
      <w:r>
        <w:rPr>
          <w:rFonts w:ascii="Times New Roman" w:hAnsi="Times New Roman" w:cs="Times New Roman"/>
          <w:sz w:val="28"/>
          <w:szCs w:val="28"/>
        </w:rPr>
        <w:t xml:space="preserve"> сомнительной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роводит мониторинг финансового (платежного) состояния должников, в том числе при проведении мероприятий по инвентаризации дебиторской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по доходам</w:t>
      </w:r>
      <w:r>
        <w:rPr>
          <w:rFonts w:ascii="Times New Roman" w:hAnsi="Times New Roman" w:cs="Times New Roman"/>
          <w:sz w:val="28"/>
          <w:szCs w:val="28"/>
        </w:rPr>
        <w:t xml:space="preserve">, в частности, </w:t>
      </w:r>
      <w:r>
        <w:rPr>
          <w:rFonts w:ascii="Times New Roman" w:hAnsi="Times New Roman" w:cs="Times New Roman"/>
          <w:sz w:val="28"/>
          <w:szCs w:val="28"/>
        </w:rPr>
        <w:t xml:space="preserve">на предмет: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3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сведений о взыскании с должника денежных средств в рамках исполнительного производства;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3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сведений о возбуждении в отношении должника дела о банкротстве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просроченной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ебиторской задолженности по доходам в досудебном порядке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ероприятия по урегулированию дебиторской задолженности по доходам в досудебном порядке </w:t>
      </w:r>
      <w:r>
        <w:rPr>
          <w:rFonts w:ascii="Times New Roman" w:hAnsi="Times New Roman" w:cs="Times New Roman"/>
          <w:sz w:val="28"/>
          <w:szCs w:val="28"/>
        </w:rPr>
        <w:t xml:space="preserve">включают в себя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списка должников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платежам</w:t>
      </w:r>
      <w:r>
        <w:rPr>
          <w:rFonts w:ascii="Times New Roman" w:hAnsi="Times New Roman" w:cs="Times New Roman"/>
          <w:sz w:val="28"/>
          <w:szCs w:val="28"/>
        </w:rPr>
        <w:t xml:space="preserve">, имеющи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системный (регулярный) характер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ежемесячных платежей)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позднее восьми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 xml:space="preserve">истечени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срока уплаты платежа на основе имеющихся сведений по исполнению плательщиками обязанности по уплате платежей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по платежам, имеющим </w:t>
      </w:r>
      <w:r>
        <w:rPr>
          <w:rFonts w:ascii="Times New Roman" w:hAnsi="Times New Roman" w:cs="Times New Roman"/>
          <w:sz w:val="28"/>
          <w:szCs w:val="28"/>
        </w:rPr>
        <w:t xml:space="preserve">ежемесячный срок уплаты</w:t>
      </w:r>
      <w:r>
        <w:rPr>
          <w:rFonts w:ascii="Times New Roman" w:hAnsi="Times New Roman" w:cs="Times New Roman"/>
          <w:sz w:val="28"/>
          <w:szCs w:val="28"/>
        </w:rPr>
        <w:t xml:space="preserve">, не позднее </w:t>
      </w:r>
      <w:r>
        <w:rPr>
          <w:rFonts w:ascii="Times New Roman" w:hAnsi="Times New Roman" w:cs="Times New Roman"/>
          <w:sz w:val="28"/>
          <w:szCs w:val="28"/>
        </w:rPr>
        <w:t xml:space="preserve">10 числа </w:t>
      </w:r>
      <w:r>
        <w:rPr>
          <w:rFonts w:ascii="Times New Roman" w:hAnsi="Times New Roman" w:cs="Times New Roman"/>
          <w:sz w:val="28"/>
          <w:szCs w:val="28"/>
        </w:rPr>
        <w:t xml:space="preserve">второго месяца, следующего за месяцем образования задолженности, </w:t>
      </w:r>
      <w:r>
        <w:rPr>
          <w:rFonts w:ascii="Times New Roman" w:hAnsi="Times New Roman" w:cs="Times New Roman"/>
          <w:sz w:val="28"/>
          <w:szCs w:val="28"/>
        </w:rPr>
        <w:t xml:space="preserve">на основе имеющихся сведений по исполнению плательщиками обязанности по уплате</w:t>
      </w:r>
      <w:r>
        <w:rPr>
          <w:rFonts w:ascii="Times New Roman" w:hAnsi="Times New Roman" w:cs="Times New Roman"/>
          <w:sz w:val="28"/>
          <w:szCs w:val="28"/>
        </w:rPr>
        <w:t xml:space="preserve"> платежей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платежам</w:t>
      </w:r>
      <w:r>
        <w:rPr>
          <w:rFonts w:ascii="Times New Roman" w:hAnsi="Times New Roman" w:cs="Times New Roman"/>
          <w:sz w:val="28"/>
          <w:szCs w:val="28"/>
        </w:rPr>
        <w:t xml:space="preserve">, не имеющи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системного (регулярного) характера поступлений,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позднее 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числа месяца</w:t>
      </w:r>
      <w:r>
        <w:rPr>
          <w:rFonts w:ascii="Times New Roman" w:hAnsi="Times New Roman" w:cs="Times New Roman"/>
          <w:sz w:val="28"/>
          <w:szCs w:val="28"/>
        </w:rPr>
        <w:t xml:space="preserve">, следующего за месяцем образования задолженности,</w:t>
      </w:r>
      <w:r>
        <w:rPr>
          <w:rFonts w:ascii="Times New Roman" w:hAnsi="Times New Roman" w:cs="Times New Roman"/>
          <w:sz w:val="28"/>
          <w:szCs w:val="28"/>
        </w:rPr>
        <w:t xml:space="preserve"> на основе имеющихся сведений по исполнению плательщиками обязанности по уплате платежей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по денежным обязательствам, которые не предусматривают срок их исполнения и не содержат условия, позволяющие определить этот срок, не позднее 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числа месяца, следующего за месяцем наступления обстоятельства, являющегося основанием предъявления требования о погашении задолженности.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>
        <w:rPr>
          <w:rFonts w:ascii="Times New Roman" w:hAnsi="Times New Roman" w:cs="Times New Roman"/>
          <w:sz w:val="28"/>
          <w:szCs w:val="28"/>
        </w:rPr>
        <w:t xml:space="preserve">Проведение переговоров с должником (его законным или уполномоченным представителем)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вопросу </w:t>
      </w:r>
      <w:r>
        <w:rPr>
          <w:rFonts w:ascii="Times New Roman" w:hAnsi="Times New Roman" w:cs="Times New Roman"/>
          <w:sz w:val="28"/>
          <w:szCs w:val="28"/>
        </w:rPr>
        <w:t xml:space="preserve">погашени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 со дня формирования списка должников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аправл</w:t>
      </w:r>
      <w:r>
        <w:rPr>
          <w:rFonts w:ascii="Times New Roman" w:hAnsi="Times New Roman" w:cs="Times New Roman"/>
          <w:sz w:val="28"/>
          <w:szCs w:val="28"/>
        </w:rPr>
        <w:t xml:space="preserve">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должнику</w:t>
      </w:r>
      <w:r>
        <w:rPr>
          <w:rFonts w:ascii="Times New Roman" w:hAnsi="Times New Roman" w:cs="Times New Roman"/>
          <w:sz w:val="28"/>
          <w:szCs w:val="28"/>
        </w:rPr>
        <w:t xml:space="preserve"> с учетом положений пунктов 3.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– 3.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егламента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требовани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о погашен</w:t>
      </w:r>
      <w:r>
        <w:rPr>
          <w:rFonts w:ascii="Times New Roman" w:hAnsi="Times New Roman" w:cs="Times New Roman"/>
          <w:sz w:val="28"/>
          <w:szCs w:val="28"/>
        </w:rPr>
        <w:t xml:space="preserve">ии образовавшейся задолженности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требование);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претензи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о погашении образовавшейся задолженности в досудебном порядке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установленный законом или договором (муниципальным контрактом, соглашением) срок досудебного урегулирования в случае, когда претензионный порядок урегулирования спора предусмотрен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едерации</w:t>
      </w:r>
      <w:r>
        <w:rPr>
          <w:rFonts w:ascii="Times New Roman" w:hAnsi="Times New Roman" w:cs="Times New Roman"/>
          <w:sz w:val="28"/>
          <w:szCs w:val="28"/>
        </w:rPr>
        <w:t xml:space="preserve">, договором (муниципальным контрактом, соглашением)</w:t>
      </w:r>
      <w:r>
        <w:rPr>
          <w:rFonts w:ascii="Times New Roman" w:hAnsi="Times New Roman" w:cs="Times New Roman"/>
          <w:sz w:val="28"/>
          <w:szCs w:val="28"/>
        </w:rPr>
        <w:t xml:space="preserve"> (далее – претензия)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Требование (</w:t>
      </w:r>
      <w:r>
        <w:rPr>
          <w:rFonts w:ascii="Times New Roman" w:hAnsi="Times New Roman" w:cs="Times New Roman"/>
          <w:sz w:val="28"/>
          <w:szCs w:val="28"/>
        </w:rPr>
        <w:t xml:space="preserve">претензия)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должнику </w:t>
      </w:r>
      <w:r>
        <w:rPr>
          <w:rFonts w:ascii="Times New Roman" w:hAnsi="Times New Roman" w:cs="Times New Roman"/>
          <w:sz w:val="28"/>
          <w:szCs w:val="28"/>
        </w:rPr>
        <w:t xml:space="preserve">не позднее тридцати календарных дней со дня формирования списка должников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ассм</w:t>
      </w:r>
      <w:r>
        <w:rPr>
          <w:rFonts w:ascii="Times New Roman" w:hAnsi="Times New Roman" w:cs="Times New Roman"/>
          <w:sz w:val="28"/>
          <w:szCs w:val="28"/>
        </w:rPr>
        <w:t xml:space="preserve">отрение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случ</w:t>
      </w:r>
      <w:r>
        <w:rPr>
          <w:rFonts w:ascii="Times New Roman" w:hAnsi="Times New Roman" w:cs="Times New Roman"/>
          <w:sz w:val="28"/>
          <w:szCs w:val="28"/>
        </w:rPr>
        <w:t xml:space="preserve">аях, предусмотренны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едерации</w:t>
      </w:r>
      <w:r>
        <w:rPr>
          <w:rFonts w:ascii="Times New Roman" w:hAnsi="Times New Roman" w:cs="Times New Roman"/>
          <w:sz w:val="28"/>
          <w:szCs w:val="28"/>
        </w:rPr>
        <w:t xml:space="preserve"> и (или) договором (муниципальным контрактом, соглашением)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аправление в случае возникновения процедуры банкротства </w:t>
      </w:r>
      <w:r>
        <w:rPr>
          <w:rFonts w:ascii="Times New Roman" w:hAnsi="Times New Roman" w:cs="Times New Roman"/>
          <w:sz w:val="28"/>
          <w:szCs w:val="28"/>
        </w:rPr>
        <w:t xml:space="preserve">должника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денежным обязательствам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порядке, сроки и случаях, предусмотренных законодательством Российской Федерации о банкротстве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3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</w:t>
      </w:r>
      <w:r>
        <w:rPr>
          <w:rFonts w:ascii="Times New Roman" w:hAnsi="Times New Roman" w:cs="Times New Roman"/>
          <w:sz w:val="28"/>
          <w:szCs w:val="28"/>
        </w:rPr>
        <w:t xml:space="preserve">. В требовании (претензии) о погашении задолженности должны содержаться следующие сведения: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3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должника (наименование юридического лица, фамилия, имя, отчество индивидуального предпринимателя, физического лица), адрес должника в соответствии с условиями договора;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3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пери</w:t>
      </w:r>
      <w:r>
        <w:rPr>
          <w:rFonts w:ascii="Times New Roman" w:hAnsi="Times New Roman" w:cs="Times New Roman"/>
          <w:sz w:val="28"/>
          <w:szCs w:val="28"/>
        </w:rPr>
        <w:t xml:space="preserve">од образования и основания возникновения просроченной дебиторской задолженности по доходам со ссылкой на положения законодательства Российской Федерации и (или) договора (муниципального контракта, соглашения), устанавливающие обязанность по уплате платежа;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3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</w:t>
      </w:r>
      <w:r>
        <w:rPr>
          <w:rFonts w:ascii="Times New Roman" w:hAnsi="Times New Roman" w:cs="Times New Roman"/>
          <w:sz w:val="28"/>
          <w:szCs w:val="28"/>
        </w:rPr>
        <w:t xml:space="preserve"> сумма просроченной дебиторской задолженности по основному долгу и (или) размер неустойки (пени, штрафа), начисленной на дату направления требования (претензии) о погашении задолженности;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3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</w:t>
      </w:r>
      <w:r>
        <w:rPr>
          <w:rFonts w:ascii="Times New Roman" w:hAnsi="Times New Roman" w:cs="Times New Roman"/>
          <w:sz w:val="28"/>
          <w:szCs w:val="28"/>
        </w:rPr>
        <w:t xml:space="preserve"> сведения о сроке исполнения требования (претензии), реквизиты для перечисления денежных средств;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3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</w:t>
      </w:r>
      <w:r>
        <w:rPr>
          <w:rFonts w:ascii="Times New Roman" w:hAnsi="Times New Roman" w:cs="Times New Roman"/>
          <w:sz w:val="28"/>
          <w:szCs w:val="28"/>
        </w:rPr>
        <w:t xml:space="preserve"> меры по взысканию просроченной дебиторской задолженности в случае неисполнения требования (претензии) о погашении задолженности.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Требование (претензия) о погашении дебиторской задолженности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неустойки (пени, </w:t>
      </w:r>
      <w:r>
        <w:rPr>
          <w:rFonts w:ascii="Times New Roman" w:hAnsi="Times New Roman" w:cs="Times New Roman"/>
          <w:sz w:val="28"/>
          <w:szCs w:val="28"/>
        </w:rPr>
        <w:t xml:space="preserve">штрафа) может</w:t>
      </w:r>
      <w:r>
        <w:rPr>
          <w:rFonts w:ascii="Times New Roman" w:hAnsi="Times New Roman" w:cs="Times New Roman"/>
          <w:sz w:val="28"/>
          <w:szCs w:val="28"/>
        </w:rPr>
        <w:t xml:space="preserve"> быть передано руководителю организации (ее законному или уполномоченному представителю) или физическому лицу (его законному или уполномоченному представителю) лично под расписку, направлено </w:t>
      </w:r>
      <w:r>
        <w:rPr>
          <w:rFonts w:ascii="Times New Roman" w:hAnsi="Times New Roman" w:cs="Times New Roman"/>
          <w:sz w:val="28"/>
          <w:szCs w:val="28"/>
        </w:rPr>
        <w:t xml:space="preserve">в адрес должника </w:t>
      </w:r>
      <w:r>
        <w:rPr>
          <w:rFonts w:ascii="Times New Roman" w:hAnsi="Times New Roman" w:cs="Times New Roman"/>
          <w:sz w:val="28"/>
          <w:szCs w:val="28"/>
        </w:rPr>
        <w:t xml:space="preserve">по почте заказным письмом или в ином порядке, установленном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едерации</w:t>
      </w:r>
      <w:r>
        <w:rPr>
          <w:rFonts w:ascii="Times New Roman" w:hAnsi="Times New Roman" w:cs="Times New Roman"/>
          <w:sz w:val="28"/>
          <w:szCs w:val="28"/>
        </w:rPr>
        <w:t xml:space="preserve"> или договором (муниципальным контрактом, соглашением)</w:t>
      </w:r>
      <w:r>
        <w:rPr>
          <w:rFonts w:ascii="Times New Roman" w:hAnsi="Times New Roman" w:cs="Times New Roman"/>
          <w:sz w:val="28"/>
          <w:szCs w:val="28"/>
        </w:rPr>
        <w:t xml:space="preserve">, не позднее 30 календарных дней со дня включения в список должников в соответствии с подпунктом 3.1.1. пункта 3 регламента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Срок исполнения требования (претензии) о погашении задолженности устанавливается не более восьми календарных дней со дня получения </w:t>
      </w:r>
      <w:r>
        <w:rPr>
          <w:rFonts w:ascii="Times New Roman" w:hAnsi="Times New Roman" w:cs="Times New Roman"/>
          <w:sz w:val="28"/>
          <w:szCs w:val="28"/>
        </w:rPr>
        <w:t xml:space="preserve">должником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</w:t>
      </w:r>
      <w:r>
        <w:rPr>
          <w:rFonts w:ascii="Times New Roman" w:hAnsi="Times New Roman" w:cs="Times New Roman"/>
          <w:sz w:val="28"/>
          <w:szCs w:val="28"/>
        </w:rPr>
        <w:t xml:space="preserve"> (претензии)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погашении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требования (претензии) по почте заказным письмом срок, исчисляется с момента вручения почтового отправления либо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главному администратору доходов от организации почтовой связи сообщения об отсутствии адресата по указанному адресу, отказе от получения адресатом почтового отправления, возвращения почтового отправления с отметкой об истечении срока хранения.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несогласия с суммой предъявленной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должник</w:t>
      </w:r>
      <w:r>
        <w:rPr>
          <w:rFonts w:ascii="Times New Roman" w:hAnsi="Times New Roman" w:cs="Times New Roman"/>
          <w:sz w:val="28"/>
          <w:szCs w:val="28"/>
        </w:rPr>
        <w:t xml:space="preserve"> имеет право провести сверку уплаченных платежей в порядке, утвержденном администратором доходов.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принудительному взысканию </w:t>
      </w:r>
      <w:r>
        <w:rPr>
          <w:rFonts w:ascii="Times New Roman" w:hAnsi="Times New Roman" w:cs="Times New Roman"/>
          <w:sz w:val="28"/>
          <w:szCs w:val="28"/>
        </w:rPr>
        <w:t xml:space="preserve">просроченной </w:t>
      </w:r>
      <w:r>
        <w:rPr>
          <w:rFonts w:ascii="Times New Roman" w:hAnsi="Times New Roman" w:cs="Times New Roman"/>
          <w:sz w:val="28"/>
          <w:szCs w:val="28"/>
        </w:rPr>
        <w:t xml:space="preserve">дебиторской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задолженности по</w:t>
      </w:r>
      <w:r>
        <w:rPr>
          <w:rFonts w:ascii="Times New Roman" w:hAnsi="Times New Roman" w:cs="Times New Roman"/>
          <w:sz w:val="28"/>
          <w:szCs w:val="28"/>
        </w:rPr>
        <w:t xml:space="preserve"> доходам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Информацию о наличии просроченной дебиторской задолженности в право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отдел передает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ответственный исполнитель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течении 10 рабочих дней после истечения срока для добровольного погашения задолженности.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Право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отдел в течение 30 рабочих дней с даты получения информации, указанной в п.4.1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егламента, подготавливает и направляет исковое заявление о взыскании просроченной дебиторской задолженности в суд.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течение 10 рабочих дней со дня поступления в администрацию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Ленинского района города Барнаула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исполнительного документа, выданного судебным органом, право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отдел направляет его в службу судебных приставов либо в банк или иную кредитную организацию в соответствии с законодательством 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оссийской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едерации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об исполнительном производстве.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4.5.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принятии судом решения о полном (частичном) отказе в удовлетворении заявленных требований прав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ым отделом обеспечивается принятие исчерпывающих мер по обжалованию судебных актов.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Документы о ходе претензионной-исковой работы по взысканию дебиторской задолженности по доходам, в том числе судебные акты, на бумажном носителе хранятся в правовом отделе.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360"/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наблюдению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за возможностью взыскания дебиторской задолженности по доходам в случае изменения имущественного положения)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взысканием просроченной дебиторской задолженности в рамках исполнительного производства,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платежеспособностью должника в целях обеспечения исполнения дебиторской задолженности по доходам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по доходам </w:t>
      </w:r>
      <w:r>
        <w:rPr>
          <w:rFonts w:ascii="Times New Roman" w:hAnsi="Times New Roman" w:cs="Times New Roman"/>
          <w:sz w:val="28"/>
          <w:szCs w:val="28"/>
        </w:rPr>
        <w:t xml:space="preserve">с должника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постановления о назначении административного наказания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взаимодействие со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судебных приставов</w:t>
      </w:r>
      <w:r>
        <w:rPr>
          <w:rFonts w:ascii="Times New Roman" w:hAnsi="Times New Roman" w:cs="Times New Roman"/>
          <w:sz w:val="28"/>
          <w:szCs w:val="28"/>
        </w:rPr>
        <w:t xml:space="preserve">, включающее в себя: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3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не реже одного раза в квартал </w:t>
      </w:r>
      <w:r>
        <w:rPr>
          <w:rFonts w:ascii="Times New Roman" w:hAnsi="Times New Roman" w:cs="Times New Roman"/>
          <w:sz w:val="28"/>
          <w:szCs w:val="28"/>
        </w:rPr>
        <w:t xml:space="preserve">запроса 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 xml:space="preserve">о мероприятиях, проведенных судебным приставом-исполнителем по принудительному исполнению судебных актов на стадии исполнительного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 сумме непогашенной задолженности по исполнительному документу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 наличии данных об объявлении розыска должника, 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 изменении состояния счета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счетов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должника, имуществе и правах имущественного хар</w:t>
      </w:r>
      <w:r>
        <w:rPr>
          <w:rFonts w:ascii="Times New Roman" w:hAnsi="Times New Roman" w:cs="Times New Roman"/>
          <w:sz w:val="28"/>
          <w:szCs w:val="28"/>
        </w:rPr>
        <w:t xml:space="preserve">актера должника на дату запроса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проведение не реже одного раза в квартал </w:t>
      </w:r>
      <w:r>
        <w:rPr>
          <w:rFonts w:ascii="Times New Roman" w:hAnsi="Times New Roman" w:cs="Times New Roman"/>
          <w:sz w:val="28"/>
          <w:szCs w:val="28"/>
        </w:rPr>
        <w:t xml:space="preserve">сверки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исполнительных производств с подразделениями службы судебных приставов;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и проведение рабочих встреч (совещаний) с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подразделениями</w:t>
      </w:r>
      <w:r>
        <w:rPr>
          <w:rFonts w:ascii="Times New Roman" w:hAnsi="Times New Roman" w:cs="Times New Roman"/>
          <w:sz w:val="28"/>
          <w:szCs w:val="28"/>
        </w:rPr>
        <w:t xml:space="preserve"> службы судебных приставов (по </w:t>
      </w:r>
      <w:r>
        <w:rPr>
          <w:rFonts w:ascii="Times New Roman" w:hAnsi="Times New Roman" w:cs="Times New Roman"/>
          <w:sz w:val="28"/>
          <w:szCs w:val="28"/>
        </w:rPr>
        <w:t xml:space="preserve">согласованию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Порядок обмена информацией (первичными документами) между органами администрации района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 xml:space="preserve">Управление по строительству и архитектуре, комитет по развитию предпринимательства и потребительскому рынку, административная комиссия при администрации города Барнаула по Ленинскому району города Барнаула, </w:t>
      </w:r>
      <w:r>
        <w:rPr>
          <w:rFonts w:ascii="Times New Roman" w:hAnsi="Times New Roman" w:cs="Times New Roman"/>
          <w:sz w:val="28"/>
          <w:szCs w:val="28"/>
        </w:rPr>
        <w:t xml:space="preserve">не позднее 10 числа каждого месяца формирует из ГИС ГМП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муниципальной информационной системы «системы учета административных правонарушений»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- МИС </w:t>
      </w:r>
      <w:r>
        <w:rPr>
          <w:rFonts w:ascii="Times New Roman" w:hAnsi="Times New Roman" w:cs="Times New Roman"/>
          <w:sz w:val="28"/>
          <w:szCs w:val="28"/>
        </w:rPr>
        <w:t xml:space="preserve">СуАП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список непогашенных начисленных платежей в разрезе должников и предоставляет его в отдел бухгалтер</w:t>
      </w:r>
      <w:r>
        <w:rPr>
          <w:rFonts w:ascii="Times New Roman" w:hAnsi="Times New Roman" w:cs="Times New Roman"/>
          <w:sz w:val="28"/>
          <w:szCs w:val="28"/>
        </w:rPr>
        <w:t xml:space="preserve">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Отдел бухгалтер</w:t>
      </w:r>
      <w:r>
        <w:rPr>
          <w:rFonts w:ascii="Times New Roman" w:hAnsi="Times New Roman" w:cs="Times New Roman"/>
          <w:sz w:val="28"/>
          <w:szCs w:val="28"/>
        </w:rPr>
        <w:t xml:space="preserve">ии</w:t>
      </w:r>
      <w:r>
        <w:rPr>
          <w:rFonts w:ascii="Times New Roman" w:hAnsi="Times New Roman" w:cs="Times New Roman"/>
          <w:sz w:val="28"/>
          <w:szCs w:val="28"/>
        </w:rPr>
        <w:t xml:space="preserve"> передает в </w:t>
      </w:r>
      <w:r>
        <w:rPr>
          <w:rFonts w:ascii="Times New Roman" w:hAnsi="Times New Roman" w:cs="Times New Roman"/>
          <w:sz w:val="28"/>
          <w:szCs w:val="28"/>
        </w:rPr>
        <w:t xml:space="preserve">правовой отдел</w:t>
      </w:r>
      <w:r>
        <w:rPr>
          <w:rFonts w:ascii="Times New Roman" w:hAnsi="Times New Roman" w:cs="Times New Roman"/>
          <w:sz w:val="28"/>
          <w:szCs w:val="28"/>
        </w:rPr>
        <w:t xml:space="preserve"> список должников в отношении доходов, закрепленных за </w:t>
      </w:r>
      <w:r>
        <w:rPr>
          <w:rFonts w:ascii="Times New Roman" w:hAnsi="Times New Roman" w:cs="Times New Roman"/>
          <w:sz w:val="28"/>
          <w:szCs w:val="28"/>
        </w:rPr>
        <w:t xml:space="preserve">правовым отд</w:t>
      </w:r>
      <w:r>
        <w:rPr>
          <w:rFonts w:ascii="Times New Roman" w:hAnsi="Times New Roman" w:cs="Times New Roman"/>
          <w:sz w:val="28"/>
          <w:szCs w:val="28"/>
        </w:rPr>
        <w:t xml:space="preserve">елом, в сроки, установленные пунктом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.1.1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егламента.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В случае отсутствия добровольного исполнения требования (претензии) должником в установленный для погашения задолженности срок либо погашения задолженности не в полном объеме, отдел </w:t>
      </w:r>
      <w:r>
        <w:rPr>
          <w:rFonts w:ascii="Times New Roman" w:hAnsi="Times New Roman" w:cs="Times New Roman"/>
          <w:sz w:val="28"/>
          <w:szCs w:val="28"/>
        </w:rPr>
        <w:t xml:space="preserve">бухгалтерии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управление по строительству и архитектуре, комитет по развитию предпринимательства и потребительскому рынку, административная комиссия при администрации города Барнаула по Ленинскому району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 в правово</w:t>
      </w:r>
      <w:r>
        <w:rPr>
          <w:rFonts w:ascii="Times New Roman" w:hAnsi="Times New Roman" w:cs="Times New Roman"/>
          <w:sz w:val="28"/>
          <w:szCs w:val="28"/>
        </w:rPr>
        <w:t xml:space="preserve">й отдел</w:t>
      </w:r>
      <w:r>
        <w:rPr>
          <w:rFonts w:ascii="Times New Roman" w:hAnsi="Times New Roman" w:cs="Times New Roman"/>
          <w:sz w:val="28"/>
          <w:szCs w:val="28"/>
        </w:rPr>
        <w:t xml:space="preserve"> служебную записку о необходимости принудительного взыскания задолженности не позднее, чем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тридцать календарных дней до истечения срока,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служебной записке прилагаются: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требования (претензии) и документы, подтверждающие направление, получение требования (претензии);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обстоятельства, на которых основываются требования к должнику;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бухгалтерская справка о наличии задолженности на дату подготовки служебной записки.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Отдел бухгалтер</w:t>
      </w:r>
      <w:r>
        <w:rPr>
          <w:rFonts w:ascii="Times New Roman" w:hAnsi="Times New Roman" w:cs="Times New Roman"/>
          <w:sz w:val="28"/>
          <w:szCs w:val="28"/>
        </w:rPr>
        <w:t xml:space="preserve">ии</w:t>
      </w:r>
      <w:r>
        <w:rPr>
          <w:rFonts w:ascii="Times New Roman" w:hAnsi="Times New Roman" w:cs="Times New Roman"/>
          <w:sz w:val="28"/>
          <w:szCs w:val="28"/>
        </w:rPr>
        <w:t xml:space="preserve"> формирует и передает бухгалтерскую справку о наличии задолженности у должника не позднее следующего рабочего дня за днем получения соответствующей служебной записки из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 строительству и архитектуре, комитета по развитию предпринимательства и потребительскому рынку, административной комиссии при администрации города Барнаула по Ленинскому району города Барнаула, правового отдела.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6" w:bottom="56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51208007"/>
      <w:docPartObj>
        <w:docPartGallery w:val="Page Numbers (Top of Page)"/>
        <w:docPartUnique w:val="true"/>
      </w:docPartObj>
      <w:rPr/>
    </w:sdtPr>
    <w:sdtContent>
      <w:p>
        <w:pPr>
          <w:pStyle w:val="708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  <w:p>
    <w:pPr>
      <w:pStyle w:val="7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1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34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1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7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9"/>
    <w:next w:val="6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9"/>
    <w:next w:val="6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9"/>
    <w:next w:val="6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9"/>
    <w:next w:val="6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9"/>
    <w:next w:val="6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9"/>
    <w:next w:val="6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9"/>
    <w:next w:val="6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9"/>
    <w:next w:val="6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9"/>
    <w:next w:val="6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99"/>
    <w:next w:val="6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0"/>
    <w:link w:val="34"/>
    <w:uiPriority w:val="10"/>
    <w:rPr>
      <w:sz w:val="48"/>
      <w:szCs w:val="48"/>
    </w:rPr>
  </w:style>
  <w:style w:type="paragraph" w:styleId="36">
    <w:name w:val="Subtitle"/>
    <w:basedOn w:val="699"/>
    <w:next w:val="6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0"/>
    <w:link w:val="36"/>
    <w:uiPriority w:val="11"/>
    <w:rPr>
      <w:sz w:val="24"/>
      <w:szCs w:val="24"/>
    </w:rPr>
  </w:style>
  <w:style w:type="paragraph" w:styleId="38">
    <w:name w:val="Quote"/>
    <w:basedOn w:val="699"/>
    <w:next w:val="6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9"/>
    <w:next w:val="6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0"/>
    <w:link w:val="708"/>
    <w:uiPriority w:val="99"/>
  </w:style>
  <w:style w:type="character" w:styleId="45">
    <w:name w:val="Footer Char"/>
    <w:basedOn w:val="700"/>
    <w:link w:val="710"/>
    <w:uiPriority w:val="99"/>
  </w:style>
  <w:style w:type="paragraph" w:styleId="46">
    <w:name w:val="Caption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0"/>
    <w:uiPriority w:val="99"/>
  </w:style>
  <w:style w:type="table" w:styleId="49">
    <w:name w:val="Table Grid Light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0"/>
    <w:uiPriority w:val="99"/>
    <w:unhideWhenUsed/>
    <w:rPr>
      <w:vertAlign w:val="superscript"/>
    </w:rPr>
  </w:style>
  <w:style w:type="paragraph" w:styleId="178">
    <w:name w:val="endnote text"/>
    <w:basedOn w:val="6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0"/>
    <w:uiPriority w:val="99"/>
    <w:semiHidden/>
    <w:unhideWhenUsed/>
    <w:rPr>
      <w:vertAlign w:val="superscript"/>
    </w:rPr>
  </w:style>
  <w:style w:type="paragraph" w:styleId="181">
    <w:name w:val="toc 1"/>
    <w:basedOn w:val="699"/>
    <w:next w:val="6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9"/>
    <w:next w:val="6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9"/>
    <w:next w:val="6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9"/>
    <w:next w:val="6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9"/>
    <w:next w:val="6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9"/>
    <w:next w:val="6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9"/>
    <w:next w:val="6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9"/>
    <w:next w:val="6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9"/>
    <w:next w:val="6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9"/>
    <w:next w:val="699"/>
    <w:uiPriority w:val="99"/>
    <w:unhideWhenUsed/>
    <w:pPr>
      <w:spacing w:after="0" w:afterAutospacing="0"/>
    </w:pPr>
  </w:style>
  <w:style w:type="paragraph" w:styleId="699" w:default="1">
    <w:name w:val="Normal"/>
    <w:qFormat/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paragraph" w:styleId="703">
    <w:name w:val="List Paragraph"/>
    <w:basedOn w:val="699"/>
    <w:uiPriority w:val="34"/>
    <w:qFormat/>
    <w:pPr>
      <w:contextualSpacing/>
      <w:ind w:left="720"/>
    </w:pPr>
  </w:style>
  <w:style w:type="paragraph" w:styleId="704">
    <w:name w:val="Balloon Text"/>
    <w:basedOn w:val="699"/>
    <w:link w:val="70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5" w:customStyle="1">
    <w:name w:val="Текст выноски Знак"/>
    <w:basedOn w:val="700"/>
    <w:link w:val="704"/>
    <w:uiPriority w:val="99"/>
    <w:semiHidden/>
    <w:rPr>
      <w:rFonts w:ascii="Tahoma" w:hAnsi="Tahoma" w:cs="Tahoma"/>
      <w:sz w:val="16"/>
      <w:szCs w:val="16"/>
    </w:rPr>
  </w:style>
  <w:style w:type="table" w:styleId="706">
    <w:name w:val="Table Grid"/>
    <w:basedOn w:val="7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7">
    <w:name w:val="Placeholder Text"/>
    <w:basedOn w:val="700"/>
    <w:uiPriority w:val="99"/>
    <w:semiHidden/>
    <w:rPr>
      <w:color w:val="808080"/>
    </w:rPr>
  </w:style>
  <w:style w:type="paragraph" w:styleId="708">
    <w:name w:val="Header"/>
    <w:basedOn w:val="699"/>
    <w:link w:val="70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9" w:customStyle="1">
    <w:name w:val="Верхний колонтитул Знак"/>
    <w:basedOn w:val="700"/>
    <w:link w:val="708"/>
    <w:uiPriority w:val="99"/>
  </w:style>
  <w:style w:type="paragraph" w:styleId="710">
    <w:name w:val="Footer"/>
    <w:basedOn w:val="699"/>
    <w:link w:val="7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1" w:customStyle="1">
    <w:name w:val="Нижний колонтитул Знак"/>
    <w:basedOn w:val="700"/>
    <w:link w:val="710"/>
    <w:uiPriority w:val="99"/>
  </w:style>
  <w:style w:type="paragraph" w:styleId="712">
    <w:name w:val="Body Text 2"/>
    <w:basedOn w:val="699"/>
    <w:link w:val="713"/>
    <w:pPr>
      <w:jc w:val="both"/>
      <w:spacing w:after="0" w:line="240" w:lineRule="auto"/>
    </w:pPr>
    <w:rPr>
      <w:rFonts w:ascii="Times New Roman" w:hAnsi="Times New Roman" w:eastAsia="Times New Roman" w:cs="Times New Roman"/>
      <w:bCs/>
      <w:sz w:val="24"/>
      <w:szCs w:val="20"/>
      <w:lang w:eastAsia="ru-RU"/>
    </w:rPr>
  </w:style>
  <w:style w:type="character" w:styleId="713" w:customStyle="1">
    <w:name w:val="Основной текст 2 Знак"/>
    <w:basedOn w:val="700"/>
    <w:link w:val="712"/>
    <w:rPr>
      <w:rFonts w:ascii="Times New Roman" w:hAnsi="Times New Roman" w:eastAsia="Times New Roman" w:cs="Times New Roman"/>
      <w:bCs/>
      <w:sz w:val="24"/>
      <w:szCs w:val="20"/>
      <w:lang w:eastAsia="ru-RU"/>
    </w:rPr>
  </w:style>
  <w:style w:type="paragraph" w:styleId="714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715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F3516-60B5-4578-B6AC-70F0CF3E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Ивановна Ленская</dc:creator>
  <cp:revision>10</cp:revision>
  <dcterms:created xsi:type="dcterms:W3CDTF">2024-11-01T10:20:00Z</dcterms:created>
  <dcterms:modified xsi:type="dcterms:W3CDTF">2024-11-28T09:55:36Z</dcterms:modified>
</cp:coreProperties>
</file>