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06" w:rsidRDefault="00E82D65">
      <w:pPr>
        <w:tabs>
          <w:tab w:val="left" w:pos="4860"/>
        </w:tabs>
        <w:spacing w:after="0" w:line="240" w:lineRule="auto"/>
        <w:ind w:left="5245" w:firstLine="284"/>
        <w:rPr>
          <w:rFonts w:ascii="Times New Roman" w:eastAsia="Times New Roman" w:hAnsi="Times New Roman"/>
          <w:sz w:val="28"/>
          <w:szCs w:val="20"/>
          <w:highlight w:val="white"/>
        </w:rPr>
      </w:pP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 xml:space="preserve">Приложение </w:t>
      </w:r>
    </w:p>
    <w:p w:rsidR="00C77606" w:rsidRDefault="00E82D65">
      <w:pPr>
        <w:tabs>
          <w:tab w:val="left" w:pos="4860"/>
        </w:tabs>
        <w:spacing w:after="0" w:line="240" w:lineRule="auto"/>
        <w:ind w:left="5245" w:firstLine="284"/>
        <w:rPr>
          <w:rFonts w:ascii="Times New Roman" w:eastAsia="Times New Roman" w:hAnsi="Times New Roman"/>
          <w:sz w:val="28"/>
          <w:szCs w:val="20"/>
          <w:highlight w:val="white"/>
        </w:rPr>
      </w:pP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>УТВЕРЖДЕНО</w:t>
      </w:r>
    </w:p>
    <w:p w:rsidR="00C77606" w:rsidRDefault="00E82D65">
      <w:pPr>
        <w:tabs>
          <w:tab w:val="left" w:pos="4860"/>
        </w:tabs>
        <w:spacing w:after="0" w:line="240" w:lineRule="auto"/>
        <w:ind w:left="5245" w:firstLine="284"/>
        <w:rPr>
          <w:rFonts w:ascii="Times New Roman" w:eastAsia="Times New Roman" w:hAnsi="Times New Roman"/>
          <w:sz w:val="28"/>
          <w:szCs w:val="20"/>
          <w:highlight w:val="white"/>
        </w:rPr>
      </w:pP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 xml:space="preserve">постановлением </w:t>
      </w:r>
    </w:p>
    <w:p w:rsidR="00C77606" w:rsidRDefault="00E82D65">
      <w:pPr>
        <w:tabs>
          <w:tab w:val="left" w:pos="4860"/>
        </w:tabs>
        <w:spacing w:after="0" w:line="240" w:lineRule="auto"/>
        <w:ind w:left="5245" w:firstLine="284"/>
        <w:rPr>
          <w:rFonts w:ascii="Times New Roman" w:eastAsia="Times New Roman" w:hAnsi="Times New Roman"/>
          <w:sz w:val="28"/>
          <w:szCs w:val="20"/>
          <w:highlight w:val="white"/>
        </w:rPr>
      </w:pP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>администрации города</w:t>
      </w:r>
    </w:p>
    <w:p w:rsidR="00C77606" w:rsidRDefault="00E82D65">
      <w:pPr>
        <w:spacing w:after="0" w:line="240" w:lineRule="auto"/>
        <w:ind w:left="5245" w:firstLine="284"/>
        <w:rPr>
          <w:rFonts w:ascii="Times New Roman" w:eastAsia="Times New Roman" w:hAnsi="Times New Roman"/>
          <w:sz w:val="28"/>
          <w:szCs w:val="20"/>
          <w:highlight w:val="white"/>
        </w:rPr>
      </w:pP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 xml:space="preserve">от </w:t>
      </w:r>
      <w:r w:rsidR="00E9355F"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 xml:space="preserve">09.04.2025  </w:t>
      </w: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>№</w:t>
      </w:r>
      <w:r w:rsidR="00E9355F"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>496</w:t>
      </w: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/>
          <w:bCs/>
          <w:sz w:val="28"/>
          <w:szCs w:val="28"/>
          <w:highlight w:val="white"/>
        </w:rPr>
        <w:br w:type="textWrapping" w:clear="all"/>
        <w:t xml:space="preserve">о комиссии по выдаче разрешений на право использования герба </w:t>
      </w:r>
      <w:r>
        <w:rPr>
          <w:rFonts w:ascii="Times New Roman" w:hAnsi="Times New Roman"/>
          <w:bCs/>
          <w:sz w:val="28"/>
          <w:szCs w:val="28"/>
          <w:highlight w:val="white"/>
        </w:rPr>
        <w:br w:type="textWrapping" w:clear="all"/>
        <w:t xml:space="preserve">города Барнаула </w:t>
      </w:r>
      <w:r>
        <w:rPr>
          <w:rFonts w:ascii="Times New Roman" w:hAnsi="Times New Roman"/>
          <w:sz w:val="28"/>
          <w:szCs w:val="28"/>
          <w:highlight w:val="white"/>
        </w:rPr>
        <w:t>для целей, связанных с осуществлением приносящей доход деятельности</w:t>
      </w:r>
    </w:p>
    <w:p w:rsidR="00C77606" w:rsidRDefault="00C77606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Общие положения</w:t>
      </w:r>
    </w:p>
    <w:p w:rsidR="00C77606" w:rsidRDefault="00C77606">
      <w:pPr>
        <w:tabs>
          <w:tab w:val="left" w:pos="0"/>
        </w:tabs>
        <w:spacing w:after="0" w:line="240" w:lineRule="auto"/>
        <w:ind w:left="435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Положение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 комиссии </w:t>
      </w:r>
      <w:r>
        <w:rPr>
          <w:rFonts w:ascii="Times New Roman" w:hAnsi="Times New Roman"/>
          <w:sz w:val="28"/>
          <w:szCs w:val="28"/>
          <w:highlight w:val="white"/>
        </w:rPr>
        <w:t xml:space="preserve">по выдаче разрешений на право использования герба города Барнаула для целей, связанных с осуществлением приносящей доход деятельности </w:t>
      </w:r>
      <w:r>
        <w:rPr>
          <w:rFonts w:ascii="Times New Roman" w:hAnsi="Times New Roman"/>
          <w:bCs/>
          <w:sz w:val="28"/>
          <w:szCs w:val="28"/>
          <w:highlight w:val="white"/>
        </w:rPr>
        <w:t>(далее – Положение),</w:t>
      </w:r>
      <w:r>
        <w:rPr>
          <w:rFonts w:ascii="Times New Roman" w:hAnsi="Times New Roman"/>
          <w:sz w:val="28"/>
          <w:szCs w:val="28"/>
          <w:highlight w:val="white"/>
        </w:rPr>
        <w:t xml:space="preserve"> устанавливает порядок создания и деятельности комиссии по выдаче разрешений на право использования герба города Барнаула для целей, связанных с осуществлением приносящей доход деятельности (далее – Комиссия).</w:t>
      </w:r>
    </w:p>
    <w:p w:rsidR="00C77606" w:rsidRDefault="00E82D6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Комиссия является постоянно действующим коллегиальным органом администрации города Барнаула, созданным с целью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обеспечения соблюдения порядка использования герба города Барнаула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для целей, связанных с осуществлением приносящей доход деятельности (далее – </w:t>
      </w:r>
      <w:r>
        <w:rPr>
          <w:rFonts w:ascii="Times New Roman" w:hAnsi="Times New Roman"/>
          <w:sz w:val="28"/>
          <w:szCs w:val="28"/>
          <w:highlight w:val="white"/>
        </w:rPr>
        <w:br/>
        <w:t>в коммерческих целях)</w:t>
      </w:r>
      <w:r>
        <w:rPr>
          <w:rFonts w:ascii="Times New Roman" w:hAnsi="Times New Roman"/>
          <w:bCs/>
          <w:sz w:val="28"/>
          <w:szCs w:val="28"/>
          <w:highlight w:val="white"/>
        </w:rPr>
        <w:t>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1.3. 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Комиссия в своей деятельности руководствуется законодательством Российской Федерации и Алтайского края, муниципальными нормативными правовыми актами города Барнаула, в том числе решением Барнаульской городской Думы о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т 24.09.2021 №750 «О гербе и флаге городского округа - города Барнаула Алтайского края» (далее </w:t>
      </w:r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решение БГД от 24.09.2021 №750)</w:t>
      </w:r>
      <w:r>
        <w:rPr>
          <w:rFonts w:ascii="Times New Roman" w:hAnsi="Times New Roman"/>
          <w:sz w:val="28"/>
          <w:szCs w:val="28"/>
          <w:highlight w:val="white"/>
        </w:rPr>
        <w:t>, Порядком использования герба</w:t>
      </w:r>
      <w:r>
        <w:rPr>
          <w:rFonts w:ascii="Times New Roman" w:hAnsi="Times New Roman"/>
          <w:sz w:val="28"/>
          <w:szCs w:val="28"/>
          <w:highlight w:val="white"/>
        </w:rPr>
        <w:br/>
        <w:t>города Барнаула для целей, связанных с осуществлением приносящей 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highlight w:val="white"/>
        </w:rPr>
        <w:t>оход деятельности, утвержденным постановлением администрации города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от 20.11.2024 №2037 (далее – Порядок), Положением.</w:t>
      </w:r>
    </w:p>
    <w:p w:rsidR="00C77606" w:rsidRDefault="00C77606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>2. Функции и полномочия Комиссии</w:t>
      </w: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2.1. К функциям Комиссии относится: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2.1.1. Обеспечение реализации юридическими лицами </w:t>
      </w:r>
      <w:r>
        <w:rPr>
          <w:rFonts w:ascii="Times New Roman" w:hAnsi="Times New Roman"/>
          <w:sz w:val="28"/>
          <w:szCs w:val="28"/>
          <w:highlight w:val="white"/>
        </w:rPr>
        <w:t xml:space="preserve">(за исключением органов местного самоуправления, органов администрации города Барнаула, муниципальных предприятий и учреждений города Барнаула), гражданами, в том числе индивидуальными предпринимателями, общественными объединениями, не являющимися юридическими лицами,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права использования герба города Барнаула </w:t>
      </w:r>
      <w:r>
        <w:rPr>
          <w:rFonts w:ascii="Times New Roman" w:hAnsi="Times New Roman"/>
          <w:sz w:val="28"/>
          <w:szCs w:val="28"/>
          <w:highlight w:val="white"/>
        </w:rPr>
        <w:t>в коммерческих целях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(далее – заявитель);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2.1.2. Предупреждение, выявление и устранение нарушений Порядка заявителями.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2.2. К полномочиям Комиссии относится: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2.2.1. Рассмотрение заявлений в соответствии с Порядком и принятие решений о выдаче либо об отказе в выдаче </w:t>
      </w:r>
      <w:r>
        <w:rPr>
          <w:rFonts w:ascii="Times New Roman" w:hAnsi="Times New Roman"/>
          <w:sz w:val="28"/>
          <w:szCs w:val="28"/>
          <w:highlight w:val="white"/>
        </w:rPr>
        <w:t xml:space="preserve">разрешений на право использования герба города Барнаула в коммерческих целях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(далее – разрешение);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2.2.2. Рассмотрение в соответствии с Порядком вопросов о прекращении действия разрешений, выданных Комиссией;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2.2.3. Запрос информации, необходимой для осуществления деятельности Комиссии, в органах государственной власти, органах местного самоуправления, у юридических, физических лиц, общественных объединений, не являющихся юридическими лицами;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2.2.4. Рассмотрение информации по вопросам использования герба города Барнаула, предоставленной комитетом по развитию предпринимательства, потребительскому рынку и вопросам труда администрации города Барнаула (далее – Комитет) и (или) заявителями;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2.2.5. Рассмотрение актов, составленных секретарем Комиссии по результатам  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проверки соответствия использования герба </w:t>
      </w:r>
      <w:r>
        <w:rPr>
          <w:rFonts w:ascii="Times New Roman" w:hAnsi="Times New Roman"/>
          <w:sz w:val="28"/>
          <w:szCs w:val="28"/>
        </w:rPr>
        <w:t>города Барнаула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коммерческих целях,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разрешениям, выданным Комиссией, и (или) требованиям, установленным </w:t>
      </w:r>
      <w:r>
        <w:rPr>
          <w:rFonts w:ascii="Times New Roman" w:hAnsi="Times New Roman"/>
          <w:sz w:val="28"/>
          <w:szCs w:val="28"/>
          <w:highlight w:val="white"/>
        </w:rPr>
        <w:t>решением БГД от 24.09.2021 №750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и Порядком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2.3. В ходе осуществления своей деятельности Комиссия имеет право приглашать на заседание  (далее – заседание) и заслушивать на нем заявителей.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2.4. Комиссия обязана осуществлять свою деятельность в соответствии с действующим законодательством Российской Федерации, Алтайского края и муниципальными правовыми актами города Барнаула.</w:t>
      </w: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>3. Состав Комиссии</w:t>
      </w: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3.1. Комиссия формируется на основе добровольного и безвозмездного участия в ее деятельности.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3.2.  В состав Комиссии входят председатель, заместитель председателя, секретарь и иные члены Комиссии. 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Председателем Комиссии является заместитель главы администрации города по экономической политике. Заместителем председателя Комиссии – председатель Комитета. Секретарем Комиссии – специалист Комитета. В состав Комиссии включаются представители органов местного самоуправления, депутаты Барнаульской городской Думы (по согласованию).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Состав Комиссии утверждается и изменяется постановлением администрации города.</w:t>
      </w:r>
      <w:r>
        <w:rPr>
          <w:highlight w:val="white"/>
        </w:rPr>
        <w:t xml:space="preserve"> 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3.3. </w:t>
      </w:r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highlight w:val="white"/>
        </w:rPr>
        <w:t>Не подлежит включению в состав Комиссии лицо, признанное иностранным агентом.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3.4. Председатель Комиссии: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осуществляет общее руководство Комиссией, председательствует на ее заседаниях;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назначает дату, место и время проведения заседания, определяет состав приглашенных на заседание лиц и утверждает повестку заседания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позднее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чем за три рабочих дня до дня проведения заседания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принимает решения по результатам рассмотрения заявлений, поступивших от граждан, о присутствии на заседании, в соответствии с </w:t>
      </w:r>
      <w:hyperlink r:id="rId8" w:tooltip="consultantplus://offline/ref=74358BA563E1CE0E3BDB130EC93C1C27DC562E544D222ED764C04D08916CE2FA3485F26993F267C41CA96BECE7B38FACDFA2B91A4F7A0DE2D0CD14k9B9H" w:history="1">
        <w:r>
          <w:rPr>
            <w:rFonts w:ascii="Times New Roman" w:hAnsi="Times New Roman"/>
            <w:sz w:val="28"/>
            <w:szCs w:val="28"/>
            <w:highlight w:val="white"/>
            <w:lang w:eastAsia="ru-RU"/>
          </w:rPr>
          <w:t>Порядком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обеспечения присутствия граждан на заседаниях коллегиальных органов </w:t>
      </w:r>
      <w:proofErr w:type="spellStart"/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органов</w:t>
      </w:r>
      <w:proofErr w:type="spellEnd"/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местного самоуправления города Барнаула, утвержденным постановлением администрации города от 05.10.2018 №1688 (далее – постановление от 05.10.2018 №1688);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отказывает в допуске на заседание заинтересованному лицу, в отношении которого было принято решение о допуске на заседание по результатам рассмотрения заявления о присутствии на заседании в соответствии с постановлением от 05.10.2018 №1688, в случае выявления факта несоответствия сведений, указанных в заявлении о присутствии на заседании, и сведений предъявленного документа, удостоверяющего личность заинтересованного лица.</w:t>
      </w:r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Для целей Положения используется понятие «заинтересованное лицо» в значении, установленном постановлением от 05.10.2018 №1688;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объявляет о начале и об окончании заседания, обеспечивает порядок на заседании;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предоставляет слово для выступлений членам Комиссии, приглашенным лицам;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подводит итоги голосования по вопросам, вынесенным на обсуждение Комиссии, и оглашает принятые по итогам голосования решения;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подписывает протокол заседания;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осуществляет иные полномочия, предусмотренные Положением и иными муниципальными правовыми актами города Барнаула, в целях реализации функций Комиссии.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3.5. Заместитель председателя Комиссии: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исполняет поручения председателя Комиссии, а также исполняет обязанности председателя Комиссии в случае его временного отсутствия;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осуществляет иные полномочия по поручению председателя Комиссии в целях реализации функций Комиссии.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3.6. Секретарь Комиссии: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не позднее шести рабочих дней до заседания  формирует повестку заседания и представляет ее председателю Комиссии для утверждения и назначения даты заседания, организует подготовку материалов к заседанию;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позднее</w:t>
      </w:r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чем за три рабочих дня до заседания информирует членов Комиссии по электронной почте о дате, месте и времени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проведения заседания, обеспечивает рассылку повестки заседания, а также материалов к очередному заседанию;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обеспечивает информирование о заседаниях путем размещения информационного сообщения на официальном Интернет-сайте города Барнаула не 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позднее</w:t>
      </w:r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чем за пять дней до даты заседания;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не менее чем за 30 минут до начала заседания обеспечивает регистрацию членов и заинтересованных лиц;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проверяет соответствие сведений о заинтересованном лице, в отношении которого было принято решение о допуске на заседание  по результатам рассмотрения заявления о присутствии на заседании, указанных в соответствующем заявлении, и сведений предъявленного документа, удостоверяющего личность заинтересованного лица. В случае выявления факта несоответствия сведений незамедлительно информирует председательствующего 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на заседании для принятия решения об отказе в допуске на заседание</w:t>
      </w:r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 </w:t>
      </w:r>
    </w:p>
    <w:p w:rsidR="00C77606" w:rsidRDefault="00E82D65">
      <w:pPr>
        <w:spacing w:after="0" w:line="240" w:lineRule="auto"/>
        <w:ind w:firstLine="851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4"/>
          <w:highlight w:val="white"/>
        </w:rPr>
        <w:t xml:space="preserve">осуществляет один раз в полугодие проверку на соответствие использования лицами, которым выдано разрешение, герба города Барнаула разрешениям, выданным Комиссией, и (или) требованиям, установленным </w:t>
      </w:r>
      <w:hyperlink r:id="rId9" w:anchor="/document/402851402/entry/0" w:tooltip="http://garant.adm.local/#/document/402851402/entry/0" w:history="1">
        <w:r>
          <w:rPr>
            <w:rStyle w:val="ae"/>
            <w:rFonts w:ascii="Times New Roman" w:eastAsia="Times New Roman" w:hAnsi="Times New Roman"/>
            <w:color w:val="000000"/>
            <w:sz w:val="28"/>
            <w:szCs w:val="24"/>
            <w:highlight w:val="white"/>
            <w:u w:val="none"/>
          </w:rPr>
          <w:t>решением</w:t>
        </w:r>
      </w:hyperlink>
      <w:r>
        <w:rPr>
          <w:rFonts w:ascii="Times New Roman" w:eastAsia="Times New Roman" w:hAnsi="Times New Roman"/>
          <w:color w:val="000000"/>
          <w:sz w:val="28"/>
          <w:szCs w:val="24"/>
          <w:highlight w:val="white"/>
        </w:rPr>
        <w:t xml:space="preserve"> Барнаульской городской Думы от 24.09.2021 №750 и Порядком;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осуществляет иные полномочия по поручению председателя Комиссии в целях реализации функций Комиссии.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3.7. Члены Комиссии: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принимают непосредственное участие в заседаниях (лично, не передавая свои полномочия другим лицам);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знакомятся с документами и материалами по вопросам, вынесенным на обсуждение Комиссии;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высказывают предложения по вопросам, вынесенным на обсуждение Комиссии;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участвуют в голосовании по вопросам, вынесенным на обсуждение Комиссии;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выражают особое мнение в случае несогласия с решением, принятым на заседании;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осуществляют иные полномочия по поручению председателя Комиссии в целях реализации функций Комиссии.</w:t>
      </w:r>
    </w:p>
    <w:p w:rsidR="00C77606" w:rsidRDefault="00E82D65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3.8. Участие в деятельности Комиссии не должно приводить к возникновению конфликта интересов. Для целей Положения используется понятие «конфликт интересов» в значении, установленном частью 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>статьи 10 Федерального закона от 25.12.2008 №273-ФЗ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>«О противодействии коррупции».</w:t>
      </w: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lastRenderedPageBreak/>
        <w:t>4. Порядок работы Комиссии</w:t>
      </w:r>
    </w:p>
    <w:p w:rsidR="00C77606" w:rsidRDefault="00C77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4.1. Организационное, техническое и информационное обеспечение деятельности Комиссии осуществляет Комитет.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4.2. Основной формой деятельности Комиссии являются заседания. Заседания проводятся по мере необходимости.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4.3. Заседание проводит председатель Комиссии, в случае его отсутствия заседание проводит заместитель председателя Комиссии.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4.4. Заседание считается правомочным, если на нем присутствует более половины ее членов.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4.5. Комиссия принимает решения по рассматриваемым вопросам в соответствии с установленными полномочиями. Решения Комиссии носят обязательный характер. Решения принимаются путем открытого голосования простым большинством голосов членов Комиссии, присутствующих на заседании. Секретарь Комиссия участвует в заседаниях без права голоса. При голосовании каждый член Комиссии имеет один голос. При равенстве голосов право решающего голоса принадлежит председательствующему на заседании.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4.6. Решение, принятое на заседании, оформляется протоколом заседания.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 В протоколе заседания указываются: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4.7.1. Полное наименование Комиссии;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4.7.2. Наименование вида документа (протокол);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4.7.3. Дата, время и место проведения заседания, его номер;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4.7.4. Список членов Комиссии, присутствовавших на заседании;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4.7.5. Список приглашенных на заседание лиц (с указанием информации о присутствии на заседании);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4.7.6. Повестка заседания;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4.7.7. Содержание рассмотренных на заседании вопросов и ход их рассмотрения, с указанием фамилий и инициалов докладчиков, выступающих по каждому вопросу повестки, результатов голосования и принятых Комиссией решений по каждому из рассмотренных вопросов.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4.8. Протоколы заседаний подписываются секретарем и председателем Комиссии в течение трех рабочих дней со дня заседания. 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Протокол заседания в день его подписания председателем Комиссии передается в Комитет.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4.9. При несогласии любого из членов Комиссии с принятым на заседании решением он имеет право на особое мнение. Особое мнение по принятому решению оформляется на отдельном листе, подписывается членом Комиссии и прилагается к протоколу. Содержание особого мнения записывается в протокол после записи соответствующего решения.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4.10. В случае принятия решения об отказе в выдаче разрешения в протоколе заседания указывается основание принятия данного решения со ссылкой на соответствующий подпункт пункта 2.10 Порядка. 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В случае принятия решения о выдаче разрешения секретарь Комиссии оформляет проект разрешения по форме согласно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>приложению 2 к Порядку в течение трех рабочих дней со дня заседания  и передает его на подпись председателю Комиссии. Председатель Комиссии подписывает подготовленные секретарем Комиссии документы в течение одного рабочего дня со дня их поступления на подпись. Подписанные документы заверяются печатью администрации города</w:t>
      </w:r>
      <w:r>
        <w:rPr>
          <w:rFonts w:ascii="Times New Roman" w:hAnsi="Times New Roman"/>
          <w:sz w:val="28"/>
          <w:szCs w:val="28"/>
          <w:highlight w:val="white"/>
        </w:rPr>
        <w:t xml:space="preserve"> секретарем Комиссии в организационно-контрольном комитете администрации города Барнаула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 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Разрешение в день его подписания председателем Комиссии передается секретарем Комиссии в Комитет.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4.11. Приглашение на заседание  лиц, получивших разрешение или заявителей, осуществляется секретарем Комиссии на основании поручения председателя Комиссии не 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позднее</w:t>
      </w:r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чем за три рабочих дня до дня проведения заседания путем направления приглашения в форме электронного документа по электронной почте, если адрес электронной почты указан в заявлении, либо уведомляет по контактному номеру телефона, указанному в заявлении.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 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течение 20 рабочих дней с момента выявления </w:t>
      </w:r>
      <w:r>
        <w:rPr>
          <w:rFonts w:ascii="Times New Roman" w:hAnsi="Times New Roman"/>
          <w:sz w:val="28"/>
          <w:szCs w:val="28"/>
        </w:rPr>
        <w:t xml:space="preserve">секретарем Комиссии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оснований, установленных </w:t>
      </w:r>
      <w:hyperlink r:id="rId10" w:anchor="/document/410973202/entry/1303" w:tooltip="http://garant.adm.local/#/document/410973202/entry/1303" w:history="1">
        <w:r>
          <w:rPr>
            <w:rStyle w:val="ae"/>
            <w:rFonts w:ascii="Times New Roman" w:eastAsia="Times New Roman" w:hAnsi="Times New Roman"/>
            <w:color w:val="000000"/>
            <w:sz w:val="28"/>
            <w:szCs w:val="28"/>
            <w:u w:val="none"/>
          </w:rPr>
          <w:t>подпунктами 3.1.2-3.1.7 пункта 3.1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Порядка, проводится заседание Комиссии, на котором принимается решение о прекращении действия разрешения, оформляемое протоколом заседания. День подписания протокола считается днем прекращения действия разрешения.</w:t>
      </w:r>
    </w:p>
    <w:p w:rsidR="00C77606" w:rsidRDefault="00E82D6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4.13. Комитет напр</w:t>
      </w:r>
      <w:r>
        <w:rPr>
          <w:rFonts w:ascii="Times New Roman" w:hAnsi="Times New Roman"/>
          <w:sz w:val="28"/>
          <w:szCs w:val="28"/>
          <w:highlight w:val="white"/>
        </w:rPr>
        <w:t xml:space="preserve">авляет полученную от лиц, получивших разрешение, и (или) иных лиц информацию по вопросам использования герба города Барнаула, а также информацию, полученную в ходе деятельности Комитета по вопросам использования герба города Барнаула, в Комиссию в течение 10 рабочих дней с момента получения указанной информации. Рассмотрение информации осуществляется на заседании  в течение 20 рабочих дней с момента предоставления в Комиссию соответствующей информации от Комитета. </w:t>
      </w:r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4.14. 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В случае выявления на заседании оснований для прекращения действия разрешения, предусмотренных подпунктами 3.1.2-3.1.7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 xml:space="preserve">пункта 3.1 Порядка, 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 xml:space="preserve">актом проверки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и (или) информацией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>по вопросам использования герба, предоставленной Комитетом, и (или) лицами, получившими разрешения, и (или) иными лицами, Комиссией принимается решение о прекращении действия разрешения, которое оформляется в соответствии с Порядком.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gramEnd"/>
    </w:p>
    <w:p w:rsidR="00C77606" w:rsidRDefault="00E82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4.15. Решения и действия (бездействие) Комиссии могут быть обжалованы заинтересованными лицами в порядке, установленном действующим законодательством Российской Федерации.</w:t>
      </w: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C77606" w:rsidRDefault="00C7760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sectPr w:rsidR="00C77606">
      <w:pgSz w:w="11905" w:h="16840"/>
      <w:pgMar w:top="1134" w:right="851" w:bottom="1134" w:left="1985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65" w:rsidRDefault="00E82D65">
      <w:pPr>
        <w:spacing w:after="0" w:line="240" w:lineRule="auto"/>
      </w:pPr>
      <w:r>
        <w:separator/>
      </w:r>
    </w:p>
  </w:endnote>
  <w:endnote w:type="continuationSeparator" w:id="0">
    <w:p w:rsidR="00E82D65" w:rsidRDefault="00E8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65" w:rsidRDefault="00E82D65">
      <w:pPr>
        <w:spacing w:after="0" w:line="240" w:lineRule="auto"/>
      </w:pPr>
      <w:r>
        <w:separator/>
      </w:r>
    </w:p>
  </w:footnote>
  <w:footnote w:type="continuationSeparator" w:id="0">
    <w:p w:rsidR="00E82D65" w:rsidRDefault="00E8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C6F"/>
    <w:multiLevelType w:val="multilevel"/>
    <w:tmpl w:val="5FD86CB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>
    <w:nsid w:val="21EC021B"/>
    <w:multiLevelType w:val="multilevel"/>
    <w:tmpl w:val="4156F9F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">
    <w:nsid w:val="337E2937"/>
    <w:multiLevelType w:val="multilevel"/>
    <w:tmpl w:val="8A3A5C50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6AA0511"/>
    <w:multiLevelType w:val="multilevel"/>
    <w:tmpl w:val="ED58E3B6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81F35CF"/>
    <w:multiLevelType w:val="multilevel"/>
    <w:tmpl w:val="619642A6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7ED05786"/>
    <w:multiLevelType w:val="multilevel"/>
    <w:tmpl w:val="287EBF52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06"/>
    <w:rsid w:val="0065598F"/>
    <w:rsid w:val="00C77606"/>
    <w:rsid w:val="00E82D65"/>
    <w:rsid w:val="00E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customStyle="1" w:styleId="12">
    <w:name w:val="Нижний колонтитул1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rPr>
      <w:lang w:eastAsia="zh-CN"/>
    </w:r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b">
    <w:name w:val="Верхний колонтитул Знак"/>
    <w:basedOn w:val="a0"/>
    <w:link w:val="10"/>
    <w:uiPriority w:val="99"/>
  </w:style>
  <w:style w:type="character" w:customStyle="1" w:styleId="ac">
    <w:name w:val="Нижний колонтитул Знак"/>
    <w:basedOn w:val="a0"/>
    <w:link w:val="12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lang w:val="en-US"/>
    </w:rPr>
  </w:style>
  <w:style w:type="character" w:customStyle="1" w:styleId="25">
    <w:name w:val="Основной текст 2 Знак"/>
    <w:link w:val="24"/>
    <w:uiPriority w:val="99"/>
    <w:semiHidden/>
    <w:rPr>
      <w:sz w:val="22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Pr>
      <w:b/>
      <w:bCs/>
      <w:lang w:eastAsia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b/>
      <w:sz w:val="22"/>
    </w:rPr>
  </w:style>
  <w:style w:type="paragraph" w:styleId="aff0">
    <w:name w:val="header"/>
    <w:basedOn w:val="a"/>
    <w:link w:val="15"/>
    <w:uiPriority w:val="99"/>
    <w:unhideWhenUsed/>
    <w:rsid w:val="0065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0"/>
    <w:uiPriority w:val="99"/>
    <w:rsid w:val="0065598F"/>
    <w:rPr>
      <w:sz w:val="22"/>
      <w:szCs w:val="22"/>
      <w:lang w:eastAsia="en-US"/>
    </w:rPr>
  </w:style>
  <w:style w:type="paragraph" w:styleId="aff1">
    <w:name w:val="footer"/>
    <w:basedOn w:val="a"/>
    <w:link w:val="16"/>
    <w:uiPriority w:val="99"/>
    <w:unhideWhenUsed/>
    <w:rsid w:val="0065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1"/>
    <w:uiPriority w:val="99"/>
    <w:rsid w:val="0065598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58BA563E1CE0E3BDB130EC93C1C27DC562E544D222ED764C04D08916CE2FA3485F26993F267C41CA96BECE7B38FACDFA2B91A4F7A0DE2D0CD14k9B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arant.adm.loc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.adm.local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1618</Words>
  <Characters>11732</Characters>
  <Application>Microsoft Office Word</Application>
  <DocSecurity>0</DocSecurity>
  <Lines>344</Lines>
  <Paragraphs>83</Paragraphs>
  <ScaleCrop>false</ScaleCrop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И. Неведрова</dc:creator>
  <cp:lastModifiedBy>Макаров</cp:lastModifiedBy>
  <cp:revision>6</cp:revision>
  <dcterms:created xsi:type="dcterms:W3CDTF">2025-04-01T07:08:00Z</dcterms:created>
  <dcterms:modified xsi:type="dcterms:W3CDTF">2025-04-09T06:22:00Z</dcterms:modified>
  <cp:version>917504</cp:version>
</cp:coreProperties>
</file>