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54"/>
      </w:tblGrid>
      <w:tr w:rsidR="00C21CEE" w:rsidRPr="00C21CEE" w:rsidTr="00E248CE">
        <w:trPr>
          <w:trHeight w:val="2684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C21CEE" w:rsidRPr="00C21CEE" w:rsidRDefault="00C21CEE" w:rsidP="00C21C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21CE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Приложение к приказу </w:t>
            </w:r>
          </w:p>
          <w:p w:rsidR="00C21CEE" w:rsidRPr="00C21CEE" w:rsidRDefault="00C21CEE" w:rsidP="00C21C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  <w14:ligatures w14:val="none"/>
              </w:rPr>
            </w:pPr>
            <w:r w:rsidRPr="00C21CE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от </w:t>
            </w:r>
            <w:r w:rsidRPr="00C21CEE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  <w14:ligatures w14:val="none"/>
              </w:rPr>
              <w:t>24.04.2025</w:t>
            </w:r>
            <w:r w:rsidRPr="00C21CE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№</w:t>
            </w:r>
            <w:r w:rsidRPr="00C21CEE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  <w14:ligatures w14:val="none"/>
              </w:rPr>
              <w:t>200/151/ПР-658</w:t>
            </w:r>
          </w:p>
          <w:p w:rsidR="00C21CEE" w:rsidRPr="00C21CEE" w:rsidRDefault="00C21CEE" w:rsidP="00C21C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:rsidR="00C21CEE" w:rsidRPr="00C21CEE" w:rsidRDefault="00C21CEE" w:rsidP="00C21C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21CE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Приложение к Положению об организации системы внутреннего обеспечения соответствия требованиям антимонопольного законодательства (антимонопольного комплаенса) в комитете жилищно-коммунального хозяйства города Барнаула</w:t>
            </w:r>
          </w:p>
        </w:tc>
      </w:tr>
    </w:tbl>
    <w:p w:rsidR="00C21CEE" w:rsidRPr="00C21CEE" w:rsidRDefault="00C21CEE" w:rsidP="00C21C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0" w:name="P148"/>
      <w:bookmarkEnd w:id="0"/>
    </w:p>
    <w:p w:rsidR="00C21CEE" w:rsidRPr="00C21CEE" w:rsidRDefault="00C21CEE" w:rsidP="00C21C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21CE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Показатели</w:t>
      </w:r>
    </w:p>
    <w:p w:rsidR="00C21CEE" w:rsidRPr="00C21CEE" w:rsidRDefault="00C21CEE" w:rsidP="00C21C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21CE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эффективности функционирования антимонопольного комплаенса</w:t>
      </w:r>
    </w:p>
    <w:p w:rsidR="00C21CEE" w:rsidRPr="00C21CEE" w:rsidRDefault="00C21CEE" w:rsidP="00C21C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21CE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комитете</w:t>
      </w:r>
    </w:p>
    <w:p w:rsidR="00C21CEE" w:rsidRPr="00C21CEE" w:rsidRDefault="00C21CEE" w:rsidP="00C21C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W w:w="9784" w:type="dxa"/>
        <w:tblInd w:w="-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8"/>
        <w:gridCol w:w="1418"/>
        <w:gridCol w:w="992"/>
        <w:gridCol w:w="992"/>
        <w:gridCol w:w="5954"/>
      </w:tblGrid>
      <w:tr w:rsidR="00C21CEE" w:rsidRPr="00C21CEE" w:rsidTr="00E248CE">
        <w:tc>
          <w:tcPr>
            <w:tcW w:w="428" w:type="dxa"/>
          </w:tcPr>
          <w:p w:rsidR="00C21CEE" w:rsidRPr="00C21CEE" w:rsidRDefault="00C21CEE" w:rsidP="00C21C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C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№п/п</w:t>
            </w:r>
          </w:p>
        </w:tc>
        <w:tc>
          <w:tcPr>
            <w:tcW w:w="1418" w:type="dxa"/>
          </w:tcPr>
          <w:p w:rsidR="00C21CEE" w:rsidRPr="00C21CEE" w:rsidRDefault="00C21CEE" w:rsidP="00C21C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C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показателя</w:t>
            </w:r>
          </w:p>
        </w:tc>
        <w:tc>
          <w:tcPr>
            <w:tcW w:w="992" w:type="dxa"/>
          </w:tcPr>
          <w:p w:rsidR="00C21CEE" w:rsidRPr="00C21CEE" w:rsidRDefault="00C21CEE" w:rsidP="00C21C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C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Единица измерения</w:t>
            </w:r>
          </w:p>
        </w:tc>
        <w:tc>
          <w:tcPr>
            <w:tcW w:w="992" w:type="dxa"/>
          </w:tcPr>
          <w:p w:rsidR="00C21CEE" w:rsidRPr="00C21CEE" w:rsidRDefault="00C21CEE" w:rsidP="00C21C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C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Значение (план)</w:t>
            </w:r>
          </w:p>
        </w:tc>
        <w:tc>
          <w:tcPr>
            <w:tcW w:w="5954" w:type="dxa"/>
          </w:tcPr>
          <w:p w:rsidR="00C21CEE" w:rsidRPr="00C21CEE" w:rsidRDefault="00C21CEE" w:rsidP="00C21C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C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Методика расчета</w:t>
            </w:r>
          </w:p>
        </w:tc>
      </w:tr>
      <w:tr w:rsidR="00C21CEE" w:rsidRPr="00C21CEE" w:rsidTr="00E248CE">
        <w:tc>
          <w:tcPr>
            <w:tcW w:w="428" w:type="dxa"/>
          </w:tcPr>
          <w:p w:rsidR="00C21CEE" w:rsidRPr="00C21CEE" w:rsidRDefault="00C21CEE" w:rsidP="00C21C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C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418" w:type="dxa"/>
          </w:tcPr>
          <w:p w:rsidR="00C21CEE" w:rsidRPr="00C21CEE" w:rsidRDefault="00C21CEE" w:rsidP="00C21C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C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992" w:type="dxa"/>
          </w:tcPr>
          <w:p w:rsidR="00C21CEE" w:rsidRPr="00C21CEE" w:rsidRDefault="00C21CEE" w:rsidP="00C21C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C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992" w:type="dxa"/>
          </w:tcPr>
          <w:p w:rsidR="00C21CEE" w:rsidRPr="00C21CEE" w:rsidRDefault="00C21CEE" w:rsidP="00C21C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C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5954" w:type="dxa"/>
          </w:tcPr>
          <w:p w:rsidR="00C21CEE" w:rsidRPr="00C21CEE" w:rsidRDefault="00C21CEE" w:rsidP="00C21C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C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C21CEE" w:rsidRPr="00C21CEE" w:rsidTr="00E248CE">
        <w:tc>
          <w:tcPr>
            <w:tcW w:w="428" w:type="dxa"/>
          </w:tcPr>
          <w:p w:rsidR="00C21CEE" w:rsidRPr="00C21CEE" w:rsidRDefault="00C21CEE" w:rsidP="00C21C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C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1418" w:type="dxa"/>
          </w:tcPr>
          <w:p w:rsidR="00C21CEE" w:rsidRPr="00C21CEE" w:rsidRDefault="00C21CEE" w:rsidP="00C21C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C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нарушений антимонопольного законодательства комитетом</w:t>
            </w:r>
          </w:p>
        </w:tc>
        <w:tc>
          <w:tcPr>
            <w:tcW w:w="992" w:type="dxa"/>
          </w:tcPr>
          <w:p w:rsidR="00C21CEE" w:rsidRPr="00C21CEE" w:rsidRDefault="00C21CEE" w:rsidP="00C21C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C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Единиц</w:t>
            </w:r>
          </w:p>
        </w:tc>
        <w:tc>
          <w:tcPr>
            <w:tcW w:w="992" w:type="dxa"/>
          </w:tcPr>
          <w:p w:rsidR="00C21CEE" w:rsidRPr="00C21CEE" w:rsidRDefault="00C21CEE" w:rsidP="00C21C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C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5954" w:type="dxa"/>
          </w:tcPr>
          <w:p w:rsidR="00C21CEE" w:rsidRPr="00C21CEE" w:rsidRDefault="00C21CEE" w:rsidP="00C21C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C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Расчет показателя осуществляется по наличию у комитета нарушений антимонопольного законодательства, решения о которых вступили в силу в отчетном периоде.</w:t>
            </w:r>
          </w:p>
          <w:p w:rsidR="00C21CEE" w:rsidRPr="00C21CEE" w:rsidRDefault="00C21CEE" w:rsidP="00C21C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C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 расчете показателя под нарушением антимонопольного законодательства комитетом понимаются:</w:t>
            </w:r>
          </w:p>
          <w:p w:rsidR="00C21CEE" w:rsidRPr="00C21CEE" w:rsidRDefault="00C21CEE" w:rsidP="00C21C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C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возбужденные антимонопольным органом дела в отношении комитета;</w:t>
            </w:r>
          </w:p>
          <w:p w:rsidR="00C21CEE" w:rsidRPr="00C21CEE" w:rsidRDefault="00C21CEE" w:rsidP="00C21C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C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выданные комитету антимонопольным органом предупреждения о прекращении действий (бездействия), об отмене или изменении актов, которые содержат признаки нарушения антимонопольного законодательства, либо об устранении причин и условий, способствовавших возникновению такого нарушения, и о принятии мер по устранению последствий такого нарушения;</w:t>
            </w:r>
          </w:p>
          <w:p w:rsidR="00C21CEE" w:rsidRPr="00C21CEE" w:rsidRDefault="00C21CEE" w:rsidP="00C21C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C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направленные комитету антимонопольным органом предостережения о недопустимости совершения действий, которые могут привести к нарушению антимонопольного законодательства.</w:t>
            </w:r>
          </w:p>
          <w:p w:rsidR="00C21CEE" w:rsidRPr="00C21CEE" w:rsidRDefault="00C21CEE" w:rsidP="00C21C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C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Направление динамики показателя: показатель обратного счета, динамика значений которого направлена на снижение.</w:t>
            </w:r>
          </w:p>
        </w:tc>
      </w:tr>
      <w:tr w:rsidR="00C21CEE" w:rsidRPr="00C21CEE" w:rsidTr="00E248CE">
        <w:tc>
          <w:tcPr>
            <w:tcW w:w="428" w:type="dxa"/>
          </w:tcPr>
          <w:p w:rsidR="00C21CEE" w:rsidRPr="00C21CEE" w:rsidRDefault="00C21CEE" w:rsidP="00C21C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C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1418" w:type="dxa"/>
          </w:tcPr>
          <w:p w:rsidR="00C21CEE" w:rsidRPr="00C21CEE" w:rsidRDefault="00C21CEE" w:rsidP="00C21C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C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Доля </w:t>
            </w:r>
            <w:r w:rsidRPr="00C21C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действующих муниципальных нормативных правовых актов, проектов муниципальных нормативных правовых актов, разработанных комитетом, в которых выявлены комплаенс-риски</w:t>
            </w:r>
          </w:p>
        </w:tc>
        <w:tc>
          <w:tcPr>
            <w:tcW w:w="992" w:type="dxa"/>
          </w:tcPr>
          <w:p w:rsidR="00C21CEE" w:rsidRPr="00C21CEE" w:rsidRDefault="00C21CEE" w:rsidP="00C21C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C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%</w:t>
            </w:r>
          </w:p>
        </w:tc>
        <w:tc>
          <w:tcPr>
            <w:tcW w:w="992" w:type="dxa"/>
          </w:tcPr>
          <w:p w:rsidR="00C21CEE" w:rsidRPr="00C21CEE" w:rsidRDefault="00C21CEE" w:rsidP="00C21C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C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5954" w:type="dxa"/>
          </w:tcPr>
          <w:p w:rsidR="00C21CEE" w:rsidRPr="00C21CEE" w:rsidRDefault="00C21CEE" w:rsidP="00C21C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C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Расчет показателя осуществляется по формуле:</w:t>
            </w:r>
          </w:p>
          <w:p w:rsidR="00C21CEE" w:rsidRPr="00C21CEE" w:rsidRDefault="00C21CEE" w:rsidP="00C21C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C21CEE" w:rsidRPr="00C21CEE" w:rsidRDefault="00C21CEE" w:rsidP="00C21C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C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</w:t>
            </w:r>
            <w:r w:rsidRPr="00C21C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bscript"/>
                <w:lang w:eastAsia="ru-RU"/>
                <w14:ligatures w14:val="none"/>
              </w:rPr>
              <w:t>МНПА</w:t>
            </w:r>
            <w:r w:rsidRPr="00C21C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= (К</w:t>
            </w:r>
            <w:r w:rsidRPr="00C21C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bscript"/>
                <w:lang w:eastAsia="ru-RU"/>
                <w14:ligatures w14:val="none"/>
              </w:rPr>
              <w:t>МНПА</w:t>
            </w:r>
            <w:r w:rsidRPr="00C21C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+ К</w:t>
            </w:r>
            <w:r w:rsidRPr="00C21C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bscript"/>
                <w:lang w:eastAsia="ru-RU"/>
                <w14:ligatures w14:val="none"/>
              </w:rPr>
              <w:t>ПМНПА</w:t>
            </w:r>
            <w:r w:rsidRPr="00C21C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 / (К</w:t>
            </w:r>
            <w:r w:rsidRPr="00C21C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bscript"/>
                <w:lang w:eastAsia="ru-RU"/>
                <w14:ligatures w14:val="none"/>
              </w:rPr>
              <w:t>ПА</w:t>
            </w:r>
            <w:r w:rsidRPr="00C21C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 x 100, где:</w:t>
            </w:r>
          </w:p>
          <w:p w:rsidR="00C21CEE" w:rsidRPr="00C21CEE" w:rsidRDefault="00C21CEE" w:rsidP="00C21C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C21CEE" w:rsidRPr="00C21CEE" w:rsidRDefault="00C21CEE" w:rsidP="00C21C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C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</w:t>
            </w:r>
            <w:r w:rsidRPr="00C21C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bscript"/>
                <w:lang w:eastAsia="ru-RU"/>
                <w14:ligatures w14:val="none"/>
              </w:rPr>
              <w:t>МНПА</w:t>
            </w:r>
            <w:r w:rsidRPr="00C21C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- доля муниципальных нормативных правовых актов и проектов муниципальных нормативных правовых актов, разработанных комитетом, в которых выявлены комплаенс-риски (в отчетном периоде);</w:t>
            </w:r>
          </w:p>
          <w:p w:rsidR="00C21CEE" w:rsidRPr="00C21CEE" w:rsidRDefault="00C21CEE" w:rsidP="00C21C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C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</w:t>
            </w:r>
            <w:r w:rsidRPr="00C21C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bscript"/>
                <w:lang w:eastAsia="ru-RU"/>
                <w14:ligatures w14:val="none"/>
              </w:rPr>
              <w:t>МНПА</w:t>
            </w:r>
            <w:r w:rsidRPr="00C21C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- количество муниципальных нормативных правовых актов, разработанных комитетом, в которых выявлены риски нарушения антимонопольного законодательства (в отчетном периоде);</w:t>
            </w:r>
          </w:p>
          <w:p w:rsidR="00C21CEE" w:rsidRPr="00C21CEE" w:rsidRDefault="00C21CEE" w:rsidP="00C21C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C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</w:t>
            </w:r>
            <w:r w:rsidRPr="00C21C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bscript"/>
                <w:lang w:eastAsia="ru-RU"/>
                <w14:ligatures w14:val="none"/>
              </w:rPr>
              <w:t>ПМНПА</w:t>
            </w:r>
            <w:r w:rsidRPr="00C21C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- количество проектов муниципальных нормативных правовых актов, разработанных комитетом, в которых выявлены риски нарушения антимонопольного законодательства (в отчетном периоде);</w:t>
            </w:r>
          </w:p>
          <w:p w:rsidR="00C21CEE" w:rsidRPr="00C21CEE" w:rsidRDefault="00C21CEE" w:rsidP="00C21C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C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</w:t>
            </w:r>
            <w:r w:rsidRPr="00C21C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bscript"/>
                <w:lang w:eastAsia="ru-RU"/>
                <w14:ligatures w14:val="none"/>
              </w:rPr>
              <w:t>ПА</w:t>
            </w:r>
            <w:r w:rsidRPr="00C21C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- общее количество муниципальных нормативных правовых актов и проектов муниципальных нормативных правовых актов, разработанных комитетом (в отчетном периоде).</w:t>
            </w:r>
          </w:p>
          <w:p w:rsidR="00C21CEE" w:rsidRPr="00C21CEE" w:rsidRDefault="00C21CEE" w:rsidP="00C21C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C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Направление динамики показателя: показатель обратного счета, динамика значений которого направлена на снижение.</w:t>
            </w:r>
          </w:p>
        </w:tc>
      </w:tr>
    </w:tbl>
    <w:p w:rsidR="00C21CEE" w:rsidRPr="00C21CEE" w:rsidRDefault="00C21CEE" w:rsidP="00C21C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C21CEE" w:rsidRPr="00C21CEE" w:rsidRDefault="00C21CEE" w:rsidP="00C21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:rsidR="00C1793F" w:rsidRDefault="00C1793F"/>
    <w:sectPr w:rsidR="00C1793F" w:rsidSect="00C21CEE">
      <w:headerReference w:type="even" r:id="rId4"/>
      <w:headerReference w:type="default" r:id="rId5"/>
      <w:pgSz w:w="11909" w:h="16834"/>
      <w:pgMar w:top="1134" w:right="567" w:bottom="1134" w:left="1985" w:header="720" w:footer="720" w:gutter="0"/>
      <w:cols w:space="6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21CEE" w:rsidRPr="00C21CEE" w:rsidRDefault="00C21CEE">
    <w:pPr>
      <w:pStyle w:val="ac"/>
      <w:framePr w:wrap="around" w:vAnchor="text" w:hAnchor="margin" w:xAlign="right" w:y="1"/>
      <w:rPr>
        <w:rStyle w:val="ae"/>
      </w:rPr>
    </w:pPr>
    <w:r w:rsidRPr="00C21CEE">
      <w:rPr>
        <w:rStyle w:val="ae"/>
      </w:rPr>
      <w:fldChar w:fldCharType="begin"/>
    </w:r>
    <w:r w:rsidRPr="00C21CEE">
      <w:rPr>
        <w:rStyle w:val="ae"/>
      </w:rPr>
      <w:instrText xml:space="preserve">PAGE  </w:instrText>
    </w:r>
    <w:r w:rsidRPr="00C21CEE">
      <w:rPr>
        <w:rStyle w:val="ae"/>
      </w:rPr>
      <w:fldChar w:fldCharType="end"/>
    </w:r>
  </w:p>
  <w:p w:rsidR="00C21CEE" w:rsidRDefault="00C21CEE">
    <w:pPr>
      <w:pStyle w:val="ac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21CEE" w:rsidRPr="00C21CEE" w:rsidRDefault="00C21CEE">
    <w:pPr>
      <w:pStyle w:val="ac"/>
      <w:framePr w:wrap="around" w:vAnchor="text" w:hAnchor="margin" w:xAlign="right" w:y="1"/>
      <w:rPr>
        <w:rStyle w:val="ae"/>
      </w:rPr>
    </w:pPr>
    <w:r w:rsidRPr="00C21CEE">
      <w:rPr>
        <w:rStyle w:val="ae"/>
      </w:rPr>
      <w:fldChar w:fldCharType="begin"/>
    </w:r>
    <w:r w:rsidRPr="00C21CEE">
      <w:rPr>
        <w:rStyle w:val="ae"/>
      </w:rPr>
      <w:instrText xml:space="preserve">PAGE  </w:instrText>
    </w:r>
    <w:r w:rsidRPr="00C21CEE">
      <w:rPr>
        <w:rStyle w:val="ae"/>
      </w:rPr>
      <w:fldChar w:fldCharType="separate"/>
    </w:r>
    <w:r w:rsidRPr="00C21CEE">
      <w:rPr>
        <w:rStyle w:val="ae"/>
        <w:noProof/>
      </w:rPr>
      <w:t>2</w:t>
    </w:r>
    <w:r w:rsidRPr="00C21CEE">
      <w:rPr>
        <w:rStyle w:val="ae"/>
      </w:rPr>
      <w:fldChar w:fldCharType="end"/>
    </w:r>
  </w:p>
  <w:p w:rsidR="00C21CEE" w:rsidRDefault="00C21CEE">
    <w:pPr>
      <w:pStyle w:val="ac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CEE"/>
    <w:rsid w:val="00187C5C"/>
    <w:rsid w:val="001F0A4C"/>
    <w:rsid w:val="00330AF9"/>
    <w:rsid w:val="00C1793F"/>
    <w:rsid w:val="00C2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89513-3259-453A-81BD-439B351B5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1C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C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C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1C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C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C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C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C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C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C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21C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21C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21CE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21CE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21CE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21CE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21CE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21CE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21C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21C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1C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21C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21C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21CE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21CE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21CE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21C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21CE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21CEE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semiHidden/>
    <w:rsid w:val="00C21CE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d">
    <w:name w:val="Верхний колонтитул Знак"/>
    <w:basedOn w:val="a0"/>
    <w:link w:val="ac"/>
    <w:semiHidden/>
    <w:rsid w:val="00C21CEE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e">
    <w:name w:val="page number"/>
    <w:basedOn w:val="a0"/>
    <w:semiHidden/>
    <w:rsid w:val="00C21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ПравПортал</dc:creator>
  <cp:keywords/>
  <dc:description/>
  <cp:lastModifiedBy>ПравПортал</cp:lastModifiedBy>
  <cp:revision>1</cp:revision>
  <dcterms:created xsi:type="dcterms:W3CDTF">2025-04-28T03:33:00Z</dcterms:created>
  <dcterms:modified xsi:type="dcterms:W3CDTF">2025-04-28T03:33:00Z</dcterms:modified>
</cp:coreProperties>
</file>