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11.12.2024 №881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637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охраняемым законом ценностям </w:t>
      </w:r>
      <w:r>
        <w:rPr>
          <w:sz w:val="28"/>
          <w:szCs w:val="28"/>
        </w:rPr>
        <w:t xml:space="preserve">по муниципальному контролю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автомобильном транспорте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городском наземном </w:t>
      </w:r>
      <w:r>
        <w:rPr>
          <w:color w:val="000000"/>
          <w:sz w:val="28"/>
          <w:szCs w:val="28"/>
        </w:rPr>
        <w:t xml:space="preserve">электрическом </w:t>
      </w:r>
      <w:r>
        <w:rPr>
          <w:color w:val="000000"/>
          <w:sz w:val="28"/>
          <w:szCs w:val="28"/>
        </w:rPr>
        <w:t xml:space="preserve">транспорте</w:t>
      </w:r>
      <w:r>
        <w:rPr>
          <w:color w:val="000000"/>
          <w:sz w:val="28"/>
          <w:szCs w:val="28"/>
        </w:rPr>
        <w:t xml:space="preserve"> и в дорожном хозяйстве </w:t>
      </w:r>
      <w:r>
        <w:rPr>
          <w:color w:val="000000"/>
          <w:sz w:val="28"/>
          <w:szCs w:val="28"/>
        </w:rPr>
        <w:t xml:space="preserve">на территории Ленинского района города Барнаула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Анализ </w:t>
      </w:r>
      <w:r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на автомобильном транспорте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городском наземном</w:t>
      </w:r>
      <w:r>
        <w:rPr>
          <w:color w:val="000000"/>
          <w:sz w:val="28"/>
          <w:szCs w:val="28"/>
        </w:rPr>
        <w:t xml:space="preserve"> электрическом </w:t>
      </w:r>
      <w:r>
        <w:rPr>
          <w:color w:val="000000"/>
          <w:sz w:val="28"/>
          <w:szCs w:val="28"/>
        </w:rPr>
        <w:t xml:space="preserve">транспорте</w:t>
      </w:r>
      <w:r>
        <w:rPr>
          <w:sz w:val="28"/>
          <w:szCs w:val="28"/>
        </w:rPr>
        <w:t xml:space="preserve"> и в дорожном хозяйстве, </w:t>
      </w:r>
      <w:r>
        <w:rPr>
          <w:sz w:val="28"/>
          <w:szCs w:val="28"/>
        </w:rPr>
        <w:t xml:space="preserve"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 статьи </w:t>
      </w:r>
      <w:r>
        <w:rPr>
          <w:color w:val="000000"/>
          <w:sz w:val="28"/>
          <w:szCs w:val="28"/>
        </w:rPr>
        <w:t xml:space="preserve">1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 муниципальный контр</w:t>
      </w:r>
      <w:r>
        <w:rPr>
          <w:color w:val="000000"/>
          <w:sz w:val="28"/>
          <w:szCs w:val="28"/>
        </w:rPr>
        <w:t xml:space="preserve">оль осуществляется, в том числе</w:t>
      </w:r>
      <w:r>
        <w:rPr>
          <w:color w:val="000000"/>
          <w:sz w:val="28"/>
          <w:szCs w:val="28"/>
        </w:rPr>
        <w:t xml:space="preserve"> посредством профилактики нарушений об</w:t>
      </w:r>
      <w:r>
        <w:rPr>
          <w:color w:val="000000"/>
          <w:sz w:val="28"/>
          <w:szCs w:val="28"/>
        </w:rPr>
        <w:t xml:space="preserve">язательных требований. При этом</w:t>
      </w:r>
      <w:r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ый закон №248-ФЗ в части 1 статьи </w:t>
      </w:r>
      <w:r>
        <w:rPr>
          <w:color w:val="000000"/>
          <w:sz w:val="28"/>
          <w:szCs w:val="28"/>
        </w:rPr>
        <w:t xml:space="preserve">8 прямо предусмотрел приоритет профилактических мероприятий, направленных на снижение риска причинения вреда (ущерба), по отношению к проведению контроль</w:t>
      </w:r>
      <w:r>
        <w:rPr>
          <w:color w:val="000000"/>
          <w:sz w:val="28"/>
          <w:szCs w:val="28"/>
        </w:rPr>
        <w:t xml:space="preserve">ных (надзорных) мероприятий.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</w:t>
      </w:r>
      <w:r>
        <w:rPr>
          <w:color w:val="000000"/>
          <w:sz w:val="28"/>
          <w:szCs w:val="28"/>
        </w:rPr>
        <w:t xml:space="preserve">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муниципальный контроль за соблюдением требований, установленных федеральными законами, законами с</w:t>
      </w:r>
      <w:r>
        <w:rPr>
          <w:color w:val="000000"/>
          <w:sz w:val="28"/>
          <w:szCs w:val="28"/>
        </w:rPr>
        <w:t xml:space="preserve">убъектов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</w:t>
      </w:r>
      <w:r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color w:val="000000"/>
          <w:sz w:val="28"/>
          <w:szCs w:val="28"/>
        </w:rPr>
        <w:t xml:space="preserve">осуществляется посредством мероприятий, направленных на профилактику нарушений обязательных требований, выявление и пресечение нарушений обязательных требований, устранени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их последствий и (или) восстановлени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правового положения, существовавшего до возникновения таких нарушений.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0"/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Предметом муниципального контроля </w:t>
      </w:r>
      <w:r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</w:t>
      </w:r>
      <w:r>
        <w:rPr>
          <w:color w:val="000000"/>
          <w:sz w:val="28"/>
          <w:szCs w:val="28"/>
        </w:rPr>
        <w:t xml:space="preserve">орожном хозяйстве, осуществляемым</w:t>
      </w:r>
      <w:r>
        <w:rPr>
          <w:color w:val="000000"/>
          <w:sz w:val="28"/>
          <w:szCs w:val="28"/>
        </w:rPr>
        <w:t xml:space="preserve"> администрацией района, </w:t>
      </w:r>
      <w:r>
        <w:rPr>
          <w:color w:val="000000"/>
          <w:sz w:val="28"/>
          <w:szCs w:val="28"/>
        </w:rPr>
        <w:t xml:space="preserve">является соблюдение контролируемыми лицами </w:t>
      </w:r>
      <w:r>
        <w:rPr>
          <w:color w:val="000000"/>
          <w:sz w:val="28"/>
          <w:szCs w:val="28"/>
        </w:rPr>
        <w:t xml:space="preserve">обязательных требований к эксплуатации объектов дорожного сервиса, размещенных в полосах отвода и (или) придорожных полосах автомобильных </w:t>
      </w:r>
      <w:r>
        <w:rPr>
          <w:color w:val="000000"/>
          <w:sz w:val="28"/>
          <w:szCs w:val="28"/>
        </w:rPr>
        <w:t xml:space="preserve">дорог,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Контролируемыми лицами при осуществлении </w:t>
      </w:r>
      <w:r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на автомобильном транспорте, городском </w:t>
      </w:r>
      <w:r>
        <w:rPr>
          <w:color w:val="000000"/>
          <w:sz w:val="28"/>
          <w:szCs w:val="28"/>
        </w:rPr>
        <w:t xml:space="preserve">наземном электрическом транспорте и в дорожном хозяйстве </w:t>
      </w:r>
      <w:r>
        <w:rPr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31 Федерального закона</w:t>
      </w:r>
      <w:r>
        <w:rPr>
          <w:color w:val="000000"/>
          <w:sz w:val="28"/>
          <w:szCs w:val="28"/>
        </w:rPr>
        <w:t xml:space="preserve"> №248-ФЗ </w:t>
      </w:r>
      <w:r>
        <w:rPr>
          <w:sz w:val="28"/>
          <w:szCs w:val="28"/>
        </w:rPr>
        <w:t xml:space="preserve">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текущего состояния осуществления муниципального контроля </w:t>
      </w:r>
      <w:r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оказал, что контролирующим органом</w:t>
      </w:r>
      <w:r>
        <w:rPr>
          <w:sz w:val="28"/>
          <w:szCs w:val="28"/>
        </w:rPr>
        <w:t xml:space="preserve"> администрации района в течение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 по вопросам</w:t>
      </w:r>
      <w:r>
        <w:rPr>
          <w:sz w:val="28"/>
          <w:szCs w:val="28"/>
        </w:rPr>
        <w:t xml:space="preserve">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</w:t>
      </w:r>
      <w:r>
        <w:rPr>
          <w:sz w:val="28"/>
          <w:szCs w:val="28"/>
        </w:rPr>
        <w:t xml:space="preserve">на странице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</w:t>
      </w:r>
      <w:r>
        <w:rPr>
          <w:sz w:val="28"/>
          <w:szCs w:val="28"/>
        </w:rPr>
        <w:t xml:space="preserve"> города Барнаула.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t xml:space="preserve"> района официального Интернет-сайта</w:t>
      </w:r>
      <w:r>
        <w:rPr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</w:t>
      </w:r>
      <w:r>
        <w:rPr>
          <w:sz w:val="28"/>
          <w:szCs w:val="28"/>
        </w:rPr>
        <w:t xml:space="preserve">ется предметом контроля,</w:t>
      </w:r>
      <w:r>
        <w:rPr>
          <w:sz w:val="28"/>
          <w:szCs w:val="28"/>
        </w:rPr>
        <w:t xml:space="preserve"> тексты нормативных правовых актов, регулирующих осуществление муни</w:t>
      </w:r>
      <w:r>
        <w:rPr>
          <w:sz w:val="28"/>
          <w:szCs w:val="28"/>
        </w:rPr>
        <w:t xml:space="preserve">ципального контроля, руководство</w:t>
      </w:r>
      <w:r>
        <w:rPr>
          <w:sz w:val="28"/>
          <w:szCs w:val="28"/>
        </w:rPr>
        <w:t xml:space="preserve"> по соблюдению обязательных требований, разработанных в соответствии с Федеральным законом №248-ФЗ, и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теоретических и практических навыков должностных лиц, осуществляющих полномочи</w:t>
      </w:r>
      <w:r>
        <w:rPr>
          <w:sz w:val="28"/>
          <w:szCs w:val="28"/>
        </w:rPr>
        <w:t xml:space="preserve">я по муниципальному контролю, </w:t>
      </w:r>
      <w:r>
        <w:rPr>
          <w:sz w:val="28"/>
          <w:szCs w:val="28"/>
        </w:rPr>
        <w:t xml:space="preserve">в администрации района с муниципальными служащими проведена</w:t>
      </w:r>
      <w:r>
        <w:rPr>
          <w:sz w:val="28"/>
          <w:szCs w:val="28"/>
        </w:rPr>
        <w:t xml:space="preserve"> тематическая</w:t>
      </w:r>
      <w:r>
        <w:rPr>
          <w:sz w:val="28"/>
          <w:szCs w:val="28"/>
        </w:rPr>
        <w:t xml:space="preserve"> учёба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организации и осуществлению муниципального контроля.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в текущем году не выдавались ввиду отсутствия оснований.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</w:t>
      </w:r>
      <w:r>
        <w:rPr>
          <w:sz w:val="28"/>
          <w:szCs w:val="28"/>
        </w:rPr>
        <w:t xml:space="preserve">при эксплуатации объектов дорожного сервиса,</w:t>
      </w:r>
      <w:r>
        <w:rPr>
          <w:sz w:val="28"/>
          <w:szCs w:val="28"/>
        </w:rPr>
        <w:t xml:space="preserve"> осуществлении работ по ремонту</w:t>
      </w:r>
      <w:r>
        <w:rPr>
          <w:sz w:val="28"/>
          <w:szCs w:val="28"/>
        </w:rPr>
        <w:t xml:space="preserve"> и сод</w:t>
      </w:r>
      <w:r>
        <w:rPr>
          <w:sz w:val="28"/>
          <w:szCs w:val="28"/>
        </w:rPr>
        <w:t xml:space="preserve">ержанию автомобильных дорог и и</w:t>
      </w:r>
      <w:r>
        <w:rPr>
          <w:sz w:val="28"/>
          <w:szCs w:val="28"/>
        </w:rPr>
        <w:t xml:space="preserve">скус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твенных дорожных сооружений на них в части обеспечения сохранности автомобильных дорог.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 xml:space="preserve">Цели и задачи реализации программы профилактики</w:t>
      </w:r>
      <w:r>
        <w:rPr>
          <w:sz w:val="28"/>
          <w:szCs w:val="28"/>
        </w:rPr>
        <w:t xml:space="preserve"> рисков причинения вреда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/>
      <w:bookmarkStart w:id="1" w:name="sub_7701"/>
      <w:r>
        <w:rPr>
          <w:sz w:val="28"/>
          <w:szCs w:val="28"/>
        </w:rPr>
        <w:t xml:space="preserve">Цели разработки Програ</w:t>
      </w:r>
      <w:r>
        <w:rPr>
          <w:sz w:val="28"/>
          <w:szCs w:val="28"/>
        </w:rPr>
        <w:t xml:space="preserve">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Ленинского района города Барнаула на 202</w:t>
      </w:r>
      <w:r>
        <w:rPr>
          <w:sz w:val="28"/>
          <w:szCs w:val="28"/>
        </w:rPr>
        <w:t xml:space="preserve">5 год </w:t>
      </w:r>
      <w:r>
        <w:rPr>
          <w:sz w:val="28"/>
          <w:szCs w:val="28"/>
        </w:rPr>
        <w:t xml:space="preserve">(далее – Программа профилактики) и проведения профилактической работы: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повышение прозрачности системы муниципального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формиров</w:t>
      </w:r>
      <w:r>
        <w:rPr>
          <w:sz w:val="28"/>
          <w:szCs w:val="28"/>
        </w:rPr>
        <w:t xml:space="preserve">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мотивация подконтрольных субъектов к добросовестному поведению.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профилактических мероприятий Программы профилактики позволяет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снижение уровня административной нагрузки на организации и граждан, осуществляющих предпринимательскую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профилактических мероприятий, сроки (периодичность) их проведения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center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1056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3"/>
        <w:gridCol w:w="2016"/>
        <w:gridCol w:w="2908"/>
        <w:gridCol w:w="1951"/>
        <w:gridCol w:w="2301"/>
        <w:gridCol w:w="711"/>
      </w:tblGrid>
      <w:tr>
        <w:tblPrEx/>
        <w:trPr>
          <w:trHeight w:val="1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мероприятии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</w:pPr>
            <w:r>
              <w:rPr>
                <w:sz w:val="28"/>
                <w:szCs w:val="28"/>
              </w:rPr>
              <w:t xml:space="preserve">Срок реализации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нформирова-ние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8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 осуществл</w:t>
            </w:r>
            <w:r>
              <w:rPr>
                <w:sz w:val="28"/>
                <w:szCs w:val="28"/>
              </w:rPr>
              <w:t xml:space="preserve">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на официальном Интернет-сайте города Барнаула и в иных формах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  <w:pBdr>
                <w:bottom w:val="single" w:color="000000" w:sz="4" w:space="1"/>
              </w:pBdr>
            </w:pPr>
            <w:r>
              <w:rPr>
                <w:sz w:val="28"/>
                <w:szCs w:val="28"/>
              </w:rPr>
              <w:t xml:space="preserve">администрация района размещает и поддерживает в актуальном состоянии на странице администрации района на официальном Интернет-сайте города Барнаула: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тексты нормативных правовых актов, регулирующих осуществление муниципального контроля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0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8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"garantF1://77585777.0"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перечень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утвержденные проверочные листы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перечень объектов контроля, учитываемых в рамках формирования ежегодного плана контрольных мероприятий, с указанием категории риска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2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25.12.202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исчерпывающий перечень сведений, которые могут запрашиваться контрольным органом у контролируемого лица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сведения о способах получения консультаций по вопросам соблюдения обязательных требований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) сведения о порядке досудебного обжалования решений контрольного органа, действий (бездействия) его должностных лиц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) доклады, содержащие результаты обобщения правоприменительной практики контрольного органа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15.03.202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) доклады о муниципальном контроле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Алтайского края и муниципальными правовыми актами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правопримени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тельной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отдел,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проекта доклада о правоприменительной практике на официальном Интернет-сайте города Барнаула для публичного обсуждения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азмещение доклада о правоприменительной практике на официальном Интернет-сайте города Барнаула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15.03.2025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одготовка ежегодного доклада о муниципальном контроле и размещение сведений, включенных в него, посредством подсистемы сбора отчетности, обеспечивающей монитор</w:t>
            </w:r>
            <w:r>
              <w:rPr>
                <w:sz w:val="28"/>
                <w:szCs w:val="28"/>
              </w:rPr>
              <w:t xml:space="preserve">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15.03.2025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отдел,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азмещение ежегодного доклада о муниципал</w:t>
            </w:r>
            <w:r>
              <w:rPr>
                <w:sz w:val="28"/>
                <w:szCs w:val="28"/>
              </w:rPr>
              <w:t xml:space="preserve">ьном контроле на официальном Интернет-сайте города Барнаула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30.03.2025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совещаний по вопросам обобщения правоприменительной практики осуществления муниципального контроля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(не реже 1 раза в год)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отдел,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предостереже-ния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контролируемому лицу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необходи-мости)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инспекторы муниципаль-ного 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контроля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муниципальными служащими по телефону, в письменной форме, п</w:t>
            </w:r>
            <w:r>
              <w:rPr>
                <w:sz w:val="28"/>
                <w:szCs w:val="28"/>
              </w:rPr>
              <w:t xml:space="preserve">осредством видеоконференцсвязи</w:t>
            </w:r>
            <w:r>
              <w:rPr>
                <w:sz w:val="28"/>
                <w:szCs w:val="28"/>
              </w:rPr>
              <w:t xml:space="preserve"> на личном приеме либо в ходе проведения профилактического мероприятия, контрольного мероприятия по следующим вопросам: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порядок обжалования действий (бездействия) должностных лиц администрации района.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случае, если в течение календарного года поступило 5 и более однотипных (по одним</w:t>
            </w:r>
            <w:r>
              <w:rPr>
                <w:sz w:val="28"/>
                <w:szCs w:val="28"/>
              </w:rPr>
              <w:t xml:space="preserve">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6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визит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профилактическо</w:t>
            </w:r>
            <w:r>
              <w:rPr>
                <w:sz w:val="28"/>
                <w:szCs w:val="28"/>
              </w:rPr>
              <w:t xml:space="preserve">й беседы по месту осуществления деятельности контролируемого лица либо путем использования видео-конференц-связи, с  целью информирования об обязательных требованиях, предъявляемых к его деятельности либо к принадлежащим ему объектам контроля, их соответст</w:t>
            </w:r>
            <w:r>
              <w:rPr>
                <w:sz w:val="28"/>
                <w:szCs w:val="28"/>
              </w:rPr>
              <w:t xml:space="preserve">вии критериям риска, основаниях и о рекомендуемых способах снижения категории риска, о видах, содержании и об интенсивности контрольных (надзорных) мероприятий, проводимых в отношении объекта контроля исходя из отнесения к соответствующей категории риска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арт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юнь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ентябрь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инспекторы муниципального контроля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left w:val="single" w:color="000000" w:sz="4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0"/>
              <w:contextualSpacing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pStyle w:val="890"/>
              <w:ind w:left="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включа</w:t>
      </w:r>
      <w:r>
        <w:rPr>
          <w:sz w:val="28"/>
          <w:szCs w:val="28"/>
        </w:rPr>
        <w:t xml:space="preserve">ют в себя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-1"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right="-1"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right="-1"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ю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веденных контрольных мероприятий.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890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10</w: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8" w:hanging="360"/>
        <w:tabs>
          <w:tab w:val="num" w:pos="64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"/>
      <w:lvlJc w:val="left"/>
      <w:pPr>
        <w:ind w:left="1070" w:hanging="360"/>
        <w:tabs>
          <w:tab w:val="num" w:pos="1070" w:leader="none"/>
        </w:tabs>
      </w:pPr>
      <w:rPr>
        <w:rFonts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525"/>
        <w:tabs>
          <w:tab w:val="num" w:pos="8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4"/>
      <w:szCs w:val="24"/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keepNext/>
      <w:outlineLvl w:val="0"/>
    </w:pPr>
    <w:rPr>
      <w:sz w:val="28"/>
    </w:rPr>
  </w:style>
  <w:style w:type="paragraph" w:styleId="892">
    <w:name w:val="Заголовок 2"/>
    <w:basedOn w:val="890"/>
    <w:next w:val="890"/>
    <w:link w:val="890"/>
    <w:qFormat/>
    <w:pPr>
      <w:jc w:val="center"/>
      <w:keepNext/>
      <w:outlineLvl w:val="1"/>
    </w:pPr>
    <w:rPr>
      <w:sz w:val="40"/>
    </w:rPr>
  </w:style>
  <w:style w:type="paragraph" w:styleId="893">
    <w:name w:val="Заголовок 3"/>
    <w:basedOn w:val="890"/>
    <w:next w:val="890"/>
    <w:link w:val="914"/>
    <w:qFormat/>
    <w:pPr>
      <w:jc w:val="center"/>
      <w:keepNext/>
      <w:outlineLvl w:val="2"/>
    </w:pPr>
    <w:rPr>
      <w:sz w:val="32"/>
      <w:lang w:val="en-US" w:eastAsia="en-US"/>
    </w:rPr>
  </w:style>
  <w:style w:type="paragraph" w:styleId="894">
    <w:name w:val="Заголовок 4"/>
    <w:basedOn w:val="890"/>
    <w:next w:val="890"/>
    <w:link w:val="89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95">
    <w:name w:val="Заголовок 7"/>
    <w:basedOn w:val="890"/>
    <w:next w:val="890"/>
    <w:link w:val="912"/>
    <w:qFormat/>
    <w:pPr>
      <w:keepNext/>
      <w:outlineLvl w:val="6"/>
    </w:pPr>
    <w:rPr>
      <w:sz w:val="28"/>
      <w:szCs w:val="20"/>
      <w:lang w:val="en-US" w:eastAsia="en-US"/>
    </w:rPr>
  </w:style>
  <w:style w:type="character" w:styleId="896">
    <w:name w:val="Основной шрифт абзаца"/>
    <w:next w:val="896"/>
    <w:link w:val="890"/>
    <w:semiHidden/>
  </w:style>
  <w:style w:type="table" w:styleId="897">
    <w:name w:val="Обычная таблица"/>
    <w:next w:val="897"/>
    <w:link w:val="890"/>
    <w:semiHidden/>
    <w:tblPr/>
  </w:style>
  <w:style w:type="numbering" w:styleId="898">
    <w:name w:val="Нет списка"/>
    <w:next w:val="898"/>
    <w:link w:val="890"/>
    <w:semiHidden/>
  </w:style>
  <w:style w:type="paragraph" w:styleId="899">
    <w:name w:val="Основной текст"/>
    <w:basedOn w:val="890"/>
    <w:next w:val="899"/>
    <w:link w:val="911"/>
    <w:rPr>
      <w:sz w:val="28"/>
      <w:lang w:val="en-US" w:eastAsia="en-US"/>
    </w:rPr>
  </w:style>
  <w:style w:type="paragraph" w:styleId="900">
    <w:name w:val="Текст выноски"/>
    <w:basedOn w:val="890"/>
    <w:next w:val="900"/>
    <w:link w:val="890"/>
    <w:semiHidden/>
    <w:rPr>
      <w:rFonts w:ascii="Tahoma" w:hAnsi="Tahoma" w:cs="Tahoma"/>
      <w:sz w:val="16"/>
      <w:szCs w:val="16"/>
    </w:rPr>
  </w:style>
  <w:style w:type="paragraph" w:styleId="901">
    <w:name w:val="Верхний колонтитул"/>
    <w:basedOn w:val="890"/>
    <w:next w:val="901"/>
    <w:link w:val="890"/>
    <w:pPr>
      <w:tabs>
        <w:tab w:val="center" w:pos="4677" w:leader="none"/>
        <w:tab w:val="right" w:pos="9355" w:leader="none"/>
      </w:tabs>
    </w:pPr>
  </w:style>
  <w:style w:type="character" w:styleId="902">
    <w:name w:val="Номер страницы"/>
    <w:basedOn w:val="896"/>
    <w:next w:val="902"/>
    <w:link w:val="890"/>
  </w:style>
  <w:style w:type="paragraph" w:styleId="903">
    <w:name w:val="Основной текст с отступом"/>
    <w:basedOn w:val="890"/>
    <w:next w:val="903"/>
    <w:link w:val="890"/>
    <w:pPr>
      <w:ind w:left="283"/>
      <w:spacing w:after="120"/>
    </w:pPr>
  </w:style>
  <w:style w:type="paragraph" w:styleId="904">
    <w:name w:val="Основной текст 2"/>
    <w:basedOn w:val="890"/>
    <w:next w:val="904"/>
    <w:link w:val="905"/>
    <w:pPr>
      <w:spacing w:after="120" w:line="480" w:lineRule="auto"/>
    </w:pPr>
    <w:rPr>
      <w:lang w:val="en-US" w:eastAsia="en-US"/>
    </w:rPr>
  </w:style>
  <w:style w:type="character" w:styleId="905">
    <w:name w:val="Основной текст 2 Знак"/>
    <w:next w:val="905"/>
    <w:link w:val="904"/>
    <w:rPr>
      <w:sz w:val="24"/>
      <w:szCs w:val="24"/>
    </w:rPr>
  </w:style>
  <w:style w:type="paragraph" w:styleId="906">
    <w:name w:val="Нижний колонтитул"/>
    <w:basedOn w:val="890"/>
    <w:next w:val="906"/>
    <w:link w:val="90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7">
    <w:name w:val="Нижний колонтитул Знак"/>
    <w:next w:val="907"/>
    <w:link w:val="906"/>
    <w:rPr>
      <w:sz w:val="24"/>
      <w:szCs w:val="24"/>
    </w:rPr>
  </w:style>
  <w:style w:type="paragraph" w:styleId="908">
    <w:name w:val="Схема документа"/>
    <w:basedOn w:val="890"/>
    <w:next w:val="908"/>
    <w:link w:val="909"/>
    <w:rPr>
      <w:rFonts w:ascii="Tahoma" w:hAnsi="Tahoma"/>
      <w:sz w:val="16"/>
      <w:szCs w:val="16"/>
      <w:lang w:val="en-US" w:eastAsia="en-US"/>
    </w:rPr>
  </w:style>
  <w:style w:type="character" w:styleId="909">
    <w:name w:val="Схема документа Знак"/>
    <w:next w:val="909"/>
    <w:link w:val="908"/>
    <w:rPr>
      <w:rFonts w:ascii="Tahoma" w:hAnsi="Tahoma" w:cs="Tahoma"/>
      <w:sz w:val="16"/>
      <w:szCs w:val="16"/>
    </w:rPr>
  </w:style>
  <w:style w:type="character" w:styleId="910">
    <w:name w:val="Гиперссылка"/>
    <w:next w:val="910"/>
    <w:link w:val="890"/>
    <w:uiPriority w:val="99"/>
    <w:unhideWhenUsed/>
    <w:rPr>
      <w:color w:val="0000ff"/>
      <w:u w:val="single"/>
    </w:rPr>
  </w:style>
  <w:style w:type="character" w:styleId="911">
    <w:name w:val="Основной текст Знак"/>
    <w:next w:val="911"/>
    <w:link w:val="899"/>
    <w:rPr>
      <w:sz w:val="28"/>
      <w:szCs w:val="24"/>
    </w:rPr>
  </w:style>
  <w:style w:type="character" w:styleId="912">
    <w:name w:val="Заголовок 7 Знак"/>
    <w:next w:val="912"/>
    <w:link w:val="895"/>
    <w:rPr>
      <w:sz w:val="28"/>
    </w:rPr>
  </w:style>
  <w:style w:type="paragraph" w:styleId="913">
    <w:name w:val="Обычный (веб)"/>
    <w:basedOn w:val="890"/>
    <w:next w:val="913"/>
    <w:link w:val="890"/>
    <w:uiPriority w:val="99"/>
    <w:unhideWhenUsed/>
    <w:pPr>
      <w:spacing w:before="100" w:beforeAutospacing="1" w:after="100" w:afterAutospacing="1"/>
    </w:pPr>
  </w:style>
  <w:style w:type="character" w:styleId="914">
    <w:name w:val="Заголовок 3 Знак"/>
    <w:next w:val="914"/>
    <w:link w:val="893"/>
    <w:rPr>
      <w:sz w:val="32"/>
      <w:szCs w:val="24"/>
    </w:rPr>
  </w:style>
  <w:style w:type="paragraph" w:styleId="915">
    <w:name w:val="ConsPlusNormal"/>
    <w:next w:val="915"/>
    <w:link w:val="890"/>
    <w:pPr>
      <w:widowControl w:val="off"/>
    </w:pPr>
    <w:rPr>
      <w:sz w:val="24"/>
      <w:lang w:val="ru-RU" w:eastAsia="ru-RU" w:bidi="ar-SA"/>
    </w:rPr>
  </w:style>
  <w:style w:type="paragraph" w:styleId="916">
    <w:name w:val="ConsPlusTitle"/>
    <w:next w:val="916"/>
    <w:link w:val="890"/>
    <w:pPr>
      <w:widowControl w:val="off"/>
    </w:pPr>
    <w:rPr>
      <w:b/>
      <w:sz w:val="24"/>
      <w:lang w:val="ru-RU" w:eastAsia="ru-RU" w:bidi="ar-SA"/>
    </w:rPr>
  </w:style>
  <w:style w:type="paragraph" w:styleId="917">
    <w:name w:val="Абзац списка"/>
    <w:basedOn w:val="890"/>
    <w:next w:val="917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18">
    <w:name w:val="Default"/>
    <w:next w:val="918"/>
    <w:link w:val="890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919">
    <w:name w:val="Гипертекстовая ссылка"/>
    <w:next w:val="919"/>
    <w:link w:val="890"/>
    <w:uiPriority w:val="99"/>
    <w:rPr>
      <w:color w:val="106bbe"/>
    </w:rPr>
  </w:style>
  <w:style w:type="table" w:styleId="920">
    <w:name w:val="Сетка таблицы"/>
    <w:basedOn w:val="897"/>
    <w:next w:val="920"/>
    <w:link w:val="890"/>
    <w:tblPr/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Комитет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revision>8</cp:revision>
  <dcterms:created xsi:type="dcterms:W3CDTF">2024-10-14T02:59:00Z</dcterms:created>
  <dcterms:modified xsi:type="dcterms:W3CDTF">2024-12-12T08:34:33Z</dcterms:modified>
  <cp:version>983040</cp:version>
</cp:coreProperties>
</file>