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40E0" w:rsidRPr="002640E0" w:rsidRDefault="002640E0" w:rsidP="002640E0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E0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2640E0" w:rsidRPr="002640E0" w:rsidRDefault="002640E0" w:rsidP="002640E0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E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2640E0" w:rsidRPr="002640E0" w:rsidRDefault="002640E0" w:rsidP="002640E0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E0">
        <w:rPr>
          <w:rFonts w:ascii="Times New Roman" w:eastAsia="Calibri" w:hAnsi="Times New Roman" w:cs="Times New Roman"/>
          <w:sz w:val="28"/>
          <w:szCs w:val="28"/>
        </w:rPr>
        <w:t xml:space="preserve">приказом комитета </w:t>
      </w:r>
    </w:p>
    <w:p w:rsidR="002640E0" w:rsidRPr="002640E0" w:rsidRDefault="002640E0" w:rsidP="002640E0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E0">
        <w:rPr>
          <w:rFonts w:ascii="Times New Roman" w:eastAsia="Calibri" w:hAnsi="Times New Roman" w:cs="Times New Roman"/>
          <w:sz w:val="28"/>
          <w:szCs w:val="28"/>
        </w:rPr>
        <w:t>по культуре города Барнаула</w:t>
      </w:r>
    </w:p>
    <w:p w:rsidR="002640E0" w:rsidRPr="002640E0" w:rsidRDefault="002640E0" w:rsidP="002640E0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E0">
        <w:rPr>
          <w:rFonts w:ascii="Times New Roman" w:eastAsia="Calibri" w:hAnsi="Times New Roman" w:cs="Times New Roman"/>
          <w:sz w:val="28"/>
          <w:szCs w:val="28"/>
        </w:rPr>
        <w:t>от 27.12.2022 №84</w:t>
      </w:r>
    </w:p>
    <w:p w:rsidR="002640E0" w:rsidRPr="002640E0" w:rsidRDefault="002640E0" w:rsidP="002640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0E0" w:rsidRPr="002640E0" w:rsidRDefault="002640E0" w:rsidP="002640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2640E0">
        <w:rPr>
          <w:rFonts w:ascii="Times New Roman" w:eastAsia="Calibri" w:hAnsi="Times New Roman" w:cs="Times New Roman"/>
          <w:caps/>
          <w:sz w:val="28"/>
          <w:szCs w:val="28"/>
        </w:rPr>
        <w:t xml:space="preserve">Порядок </w:t>
      </w:r>
    </w:p>
    <w:p w:rsidR="002640E0" w:rsidRPr="002640E0" w:rsidRDefault="002640E0" w:rsidP="002640E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40E0">
        <w:rPr>
          <w:rFonts w:ascii="Times New Roman" w:eastAsia="Calibri" w:hAnsi="Times New Roman" w:cs="Times New Roman"/>
          <w:sz w:val="28"/>
          <w:szCs w:val="28"/>
        </w:rPr>
        <w:t xml:space="preserve">составления и утверждения плана финансово-хозяйственной деятельности муниципальных бюджетных учреждений, подведомственных комитету по культуре города Барнаула </w:t>
      </w:r>
    </w:p>
    <w:p w:rsidR="002640E0" w:rsidRPr="002640E0" w:rsidRDefault="002640E0" w:rsidP="002640E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составления и утверждения плана финансово-хозяйственной деятельности муниципальных бюджетных учреждений, подведомственных комитету по культуре города Барнаула (далее – Порядок), разработан в соответствии с приказом Министерства финансов Российской Федерации от 31.08.2018 №186н «О Требованиях к составлению и утверждению плана финансово-хозяйственной деятельности государственного (муниципального) учреждения».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Проект Плана финансово-хозяйственной деятельности (далее – План) и проекты вносимых в План изменений составляются централизованной бухгалтерией комитета по культуре города Барнаула (далее –комитет) по утвержденной форме (приложение). 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составления проекта Плана муниципальные бюджетные учреждения, подведомственные комитету (далее – учреждение), направляю в комитет перечень потребностей в натуральном выражении, необходимые для выполнения муниципального задания и содержания переданного имущества. 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направления учреждением в комитет перечня потребностей и подтверждающих их наличие материалов устанавливается комитетом ежегодно не позднее 01 мая текущего финансового года. 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9"/>
      <w:bookmarkEnd w:id="0"/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должен составляться и утверждаться на текущий финансовый год и плановый период по кассовому методу, в валюте РФ.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 сроки составления проекта Плана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При составлении проекта Плана устанавливается плановый объем поступлений и выплат денежных средств.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Плана должен составляться на основании обоснований (расчетов) плановых показателей поступлений и выплат. План утверждается комитетом.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Комитет совместно с учреждениями составляет проект Плана при формировании проекта бюджета на очередной финансовый год и на плановый период в сроки, установленные комитетом по финансам </w:t>
      </w: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налоговой и кредитной политике города Барнаул: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учетом планируемых объемов поступлений: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субсидии на финансовое обеспечение выполнения муниципального задания;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субсидий, предусмотренных абзацем вторым пункта 1 статьи 78.1 Бюджетного кодекса Российской Федерации (далее – целевые субсидии), и целей их предоставления;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субсидия на осуществление капитальных вложений);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грантов, в том числе в форме субсидий, предоставляемых из бюджетов бюджетной системы Российской Федерации (далее – грант); 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иных доходов, которые учреждение планирует получить при оказании услуг, выполнении работ за плату сверх установленного муниципального задания, а в случаях, установленных федеральным законом, в рамках муниципального задания;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доходов от иной приносящей доход деятельности, предусмотренной уставом учреждения;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учетом планируемых объемов выплат, связанных с осуществлением деятельности, предусмотренной уставом учреждения, включая выплаты по исполнению принятых учреждением в предшествующих отчетных периодах обязательств.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Показатели проекта Плана и обоснования (расчеты) плановых показателей должны формироваться по соответствующим кодам (составным частям кода) бюджетной классификации Российской Федерации в части: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планируемых поступлений: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доходов – по коду аналитической группы подвида доходов бюджетов классификации доходов бюджетов;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возврата выплат, произведенных учреждениями в прошлых отчетных периодах (в том числе в связи с возвратом в текущем финансовом году отклоненных кредитной организацией платежей учреждения; излишне уплаченных сумм налогов, сборов, страховых взносов, пеней, штрафов и процентов в соответствии с законодательством Российской Федерации о налогах и сборах, предоставленных учреждением кредитов (займов, ссуд) (далее - дебиторской задолженности прошлых лет),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возврата средств, ранее размещенных на депозитах,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планируемых выплат: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– по кодам видов расходов классификации расходов </w:t>
      </w: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бюджетов;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возврату в бюджет остатков субсидий прошлых лет –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уплате налогов, объектом налогообложения которых являются доходы (прибыль) учреждения, – по коду аналитической группы подвида доходов бюджетов классификации доходов бюджетов.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Изменение показателей Плана в течение текущего финансового года должно осуществляться в связи с: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изменением объемов планируемых поступлений, а также объемов и (или) направлений выплат, в том числе в связи с: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объема услуг (работ), предоставляемых за плату;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объемов безвозмездных поступлений от юридических и физических лиц;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выплат по неисполненным обязательствам прошлых лет, не включенных в показатели Плана при его составлении;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06"/>
      <w:bookmarkEnd w:id="1"/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проведением реорганизации учреждения.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Плана по выплатам после внесения в них изменений не могут превышать объем плановых поступлений, с учетом остатка на начало текущего финансового года.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течение финансового года, по согласованию с комитетом, возможно внесение изменений в показатели Плана по поступлениям и (или) выплатам. 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пунктом 10 Порядка.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09"/>
      <w:bookmarkEnd w:id="2"/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Допускается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при поступлении в текущем финансовом году: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 возврата дебиторской задолженности прошлых лет;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сумм, поступивших в возмещение ущерба, недостач, выявленных в текущем финансовом году;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сумм, поступивших по решению суда или на основании исполнительных документов;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необходимости осуществления выплат: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возврату в бюджет бюджетной системы Российской Федерации субсидий, полученных в прошлых отчетных периодах;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возмещению ущерба;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суда, на основании исполнительных документов;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уплате штрафов, в том числе административных.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При внесении изменений в показатели Плана в случае реорганизации: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форме присоединения, слияния – показатели Плана учреждения-правопреемника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форме выделения –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форме разделения –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Плана(</w:t>
      </w:r>
      <w:proofErr w:type="spellStart"/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учреждения(</w:t>
      </w:r>
      <w:proofErr w:type="spellStart"/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 начала реорганизации.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5"/>
      <w:bookmarkEnd w:id="3"/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Формирование обоснований (расчетов) плановых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поступлений и выплат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Обоснования (расчеты)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(авансов) по договорам (контрактам, соглашениям).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(расчеты) плановых показателей выплат формируются на основании расчетов </w:t>
      </w:r>
      <w:proofErr w:type="gramStart"/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расходов с учетом</w:t>
      </w:r>
      <w:proofErr w:type="gramEnd"/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пени, штрафов, а также принятых и </w:t>
      </w: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неисполненных на начало финансового года обязательств.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(расчеты)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отчетности.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Расчеты доходов формируются: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от использования собственности (в том числе доходы в виде арендной платы, платы за сервитут, от распоряжения правами на результаты интеллектуальной деятельности и средствами индивидуализации);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от оказания услуг (выполнения работ) (в том числе в виде субсидии на финансовое обеспечение выполнения муниципального задания);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в виде безвозмездных денежных поступлений (в том числе грантов, пожертвований);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в виде целевых субсидий, а также субсидий на осуществление капитальных вложений;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от операций с активами (в том числе доходы от реализации неиспользуемого имущества, утиля, невозвратной тары, лома черных и цветных металлов).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отчетным, органу-учредителю направляется информация о причинах указанных изменений.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Расчет доходов от использования собственности осуществляется на основании информации о плате (тарифе, ставке) за использование имущества за единицу (объект, квадратный метр площади) и количества единиц предоставляемого в пользование имущества. 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доходов в виде возмещения расходов, понесенных в связи с эксплуатацией муниципального имущества, закрепленного на праве оперативного управления, осуществляется исходя из объема предоставленного в пользование имущества и планируемой стоимости услуг (возмещаемых расходов).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доходов от распоряжения правами на результаты интеллектуальной деятельности и средства индивидуализации, в том числе по лицензионным договорам, осуществляется исходя из планируемого объема предоставления прав на использование объектов и платы за использование одного объекта.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Расчет доходов от оказания услуг (выполнения работ) сверх установленного муниципального задания осуществляется исходя из планируемого объема оказания платных услуг (выполнения работ) и их планируемой стоимости.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 доходов от оказания услуг (выполнения работ) в рамках установленного муниципального задания в случаях, установленных федеральным законом, осуществляется в соответствии с объемом услуг (работ), установленных муниципальным заданием, и платой (ценой, тарифом) за указанную услугу (работу).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Расчет доходов в виде штрафов, средств, получаемых в возмещение ущерба (в том числе страховых возмещений), 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 осуществляется в размере, определенном указанными решениями.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17. Расчет доходов от иной приносящей доход деятельности осуществляется с учетом стоимости услуг по одному договору, среднего количества указанных поступлений за последние три года и их размера, а также иных прогнозных показателей.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Расчет расходов осуществляется по видам расходов с учетом норм трудовых, материальных, технических ресурсов, используемых для оказания учреждением услуг (выполнения работ), а также требований, установленных нормативными правовыми (правовыми) актами, в том числе ГОСТами, СНиПами, СанПиНами, стандартами, используемыми при оказании муниципальных услуг (выполнении работ). 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плановых показателей расходов на оплату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 в соответствии с утвержденным штатным расписанием.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Расчет расходов на выплаты компенсационного характера персоналу, за исключением фонда оплаты труда, включает выплаты по возмещению работникам (сотрудникам) расходов, связанных со служебными командировками, иные компенсационные выплаты </w:t>
      </w: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работникам, предусмотренные законодательством Российской Федерации, трудовым договором, локальными актами учреждения.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21. Расчет расходов на выплаты по социальному обеспечению и иным выплатам населению, не связанным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осуществляется с учетом количества планируемых выплат в год и их размера.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22. Расчет расходов на уплату налога на имущество организации, земельного налога, транспортного налога формируется с учетом объекта налогообложения, особенностей определения налоговой базы, налоговой ставки, а также налоговых льгот, оснований и порядка их применения, порядка и сроков уплаты по каждому налогу в соответствии с законодательством Российской Федерации о налогах и сборах.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23. Расчет расходов на уплату прочих налогов и сборов, других платежей, являющихся в соответствии с бюджетным законодательством, доходами соответствующего бюджета, осуществляется с учетом вида платежа, порядка их расчета, порядка и сроков уплаты по каждому виду платежа.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24. Расчет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25. Расчет расходов (за исключением расходов на закупку товаров, работ, услуг) осуществляется раздельно по источникам их финансового обеспечения в случае принятия комитетом решения о планировании указанных выплат раздельно по источникам их финансового обеспечения.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59"/>
      <w:bookmarkEnd w:id="4"/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26. Расчет расходов на услуги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интернет-трафика.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27. Расчет расходов на транспортные услуги осуществляется с учетом видов услуг по перевозке (транспортировке) грузов, пассажирских перевозок и стоимости указанных услуг.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Расчет расходов на коммунальные услуги осуществляется исходя из расходов на газоснабжение (иные виды топлива), электроснабжение, теплоснабжение, горячее водоснабжение, холодное водоснабжение и водоотведение с учетом количества объектов, тарифов на оказание </w:t>
      </w: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коммунальных услуг, расчетной потребности планового потребления услуг и затраты на транспортировку топлива (при наличии).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29. Расчет расходов на аренду имущества, в том числе объектов недвижимого имущества, осуществляется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Расчет расходов на содержание имущества осуществляется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31. Расчет расходов на обязательное страхование, в том числе на обязательное страхование гражданской ответственности владельцев транспортных средств, страховой премии (страховых взносов) осуществляется с учетом количества застрахованных работников, застрахованного имущества, базовых ставок страховых тарифов и поправочных коэффициентов к ним, определяемых с учетом характера страхового риска и условий договора страхования, в том числе наличия франшизы и ее размера.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65"/>
      <w:bookmarkEnd w:id="5"/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32. Расчет расходов на повышение квалификации (профессиональную переподготовку) осуществляется с учетом количества работников, направляемых на повышение квалификации, и цены обучения одного работника по каждому виду дополнительного профессионального образования.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33. Расчет расходов на оплату прочих услуг и работ (медицинских осмотров, информационных услуг, консультационных услуг, экспертных услуг, научно-исследовательских работ, типографских работ), осуществляется на основании расчетов необходимых выплат с учетом численности работников, потребности в информационных системах, количества проводимых экспертиз, количества приобретаемых печатных и иных периодических изданий, определяемых с учетом специфики деятельности учреждения, предусмотренной уставом учреждения.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Расчет расходов на приобретение объектов движимого имущества (в том числе оборудования, транспортных средств, мебели, инвентаря, бытовых приборов) осуществляется с учетом среднего срока эксплуатации указанного имущества, норм обеспеченности (при их наличии), потребности учреждения в таком имуществе, информации о стоимости приобретения необходимого имущества, определенной методом сопоставимых рыночных цен (анализа рынка), заключающемся в анализе информации о рыночных ценах идентичных (однородных) товаров, работ, </w:t>
      </w: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услуг, в том числе о ценах производителей (изготовителей) указанных товаров, работ, услуг.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35. Расчет расходов на приобретение материальных запасов осуществляется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одежде, обуви, запасных частях к оборудованию и транспортным средствам, хозяйственных товарах и канцелярских принадлежностях, а также наличия указанного имущества в запасе и (или) необходимости формирования экстренного (аварийного) запаса.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Расчеты расходов на закупку товаров, работ, услуг должны соответствовать в части планируемых выплат: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 плана-графика закупок товаров, работ, услуг для обеспечения государственных и муниципальных нужд, формируемого в соответствии с требованиями законодательства Российской Федерации о контрактной системе в сфере закупок товаров, работ, для обеспечения государственных и муниципальных нужд, в случае осуществления закупок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 плана закупок товаров, работ, услуг, формируемого в соответствии с законодательством Российской Федерации о закупках товаров, работ, услуг отдельными видами юридических лиц, в отношении закупок, подлежащих включению в указанный план закупок в соответствии с Федеральным законом от 18 июля 2011 г. №223-ФЗ </w:t>
      </w: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закупках товаров, работ, услуг отдельными видами юридических лиц», а также показателям закупок, которые согласно положениям пункта 4 Правил формирования плана закупки товаров (работ, услуг), утвержденных постановлением Правительства Российской Федерации от 17 сентября 2012 г. №932, не включаются в план закупок.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37. Расчет расходов на осуществление капитальных вложений: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капитального строительства объектов недвижимого имущества (реконструкции, в том числе с элементами реставрации, технического перевооружения) осуществляется с учетом сметной стоимости объектов капитального строительства, рассчитываемой в соответствии с законодательством о градостроительной деятельности Российской Федерации;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приобретения объектов недвижимого имущества осуществляется с учетом стоимости приобретения объектов недвижимого имущества, определяемой в соответствии с законодательством Российской Федерации, регулирующим оценочную деятельность в Российской Федерации.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Расчеты расходов, связанных с выполнением учреждением муниципального задания, могут осуществляться с превышением нормативных затрат, определенных в порядке, установленном администрации города Барнаула в соответствии с </w:t>
      </w:r>
      <w:hyperlink r:id="rId4" w:history="1">
        <w:r w:rsidRPr="002640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абзацем первым пункта 4 </w:t>
        </w:r>
        <w:r w:rsidRPr="002640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статьи 69.2</w:t>
        </w:r>
      </w:hyperlink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пределах общего объема средств субсидии на финансовое обеспечение выполнения муниципального задания.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39. В случае, если учреждением не планируется получать отдельные доходы и осуществлять отдельные расходы, то обоснования (расчеты) поступлений и выплат по указанным доходам и расходам не формируются.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Порядок утверждения Плана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80"/>
      <w:bookmarkEnd w:id="6"/>
      <w:r w:rsidRPr="002640E0">
        <w:rPr>
          <w:rFonts w:ascii="Times New Roman" w:eastAsia="Times New Roman" w:hAnsi="Times New Roman" w:cs="Times New Roman"/>
          <w:sz w:val="28"/>
          <w:szCs w:val="28"/>
          <w:lang w:eastAsia="ru-RU"/>
        </w:rPr>
        <w:t>40. Проект План подписывается уполномоченным лицом учреждения и утверждается комитетом до начала финансового года.</w:t>
      </w: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E0" w:rsidRPr="002640E0" w:rsidRDefault="002640E0" w:rsidP="002640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E0" w:rsidRPr="002640E0" w:rsidRDefault="002640E0" w:rsidP="002640E0">
      <w:pPr>
        <w:spacing w:after="200" w:line="276" w:lineRule="auto"/>
        <w:rPr>
          <w:rFonts w:ascii="Calibri" w:eastAsia="Calibri" w:hAnsi="Calibri" w:cs="Times New Roman"/>
        </w:rPr>
      </w:pPr>
    </w:p>
    <w:p w:rsidR="002640E0" w:rsidRPr="002640E0" w:rsidRDefault="002640E0" w:rsidP="002640E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40E0" w:rsidRPr="002640E0" w:rsidRDefault="002640E0" w:rsidP="002640E0">
      <w:pPr>
        <w:spacing w:after="200" w:line="276" w:lineRule="auto"/>
        <w:rPr>
          <w:rFonts w:ascii="Calibri" w:eastAsia="Calibri" w:hAnsi="Calibri" w:cs="Times New Roman"/>
        </w:rPr>
      </w:pPr>
    </w:p>
    <w:p w:rsidR="001F6506" w:rsidRDefault="001F6506"/>
    <w:sectPr w:rsidR="001F6506" w:rsidSect="003E5E58">
      <w:headerReference w:type="default" r:id="rId5"/>
      <w:headerReference w:type="first" r:id="rId6"/>
      <w:pgSz w:w="11909" w:h="16834"/>
      <w:pgMar w:top="1134" w:right="851" w:bottom="1134" w:left="1985" w:header="567" w:footer="720" w:gutter="0"/>
      <w:pgNumType w:start="2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5E58" w:rsidRDefault="002640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654B" w:rsidRDefault="002640E0" w:rsidP="008C654B">
    <w:pPr>
      <w:pStyle w:val="a3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 wp14:anchorId="4DA9B79F" wp14:editId="02F631E5">
          <wp:extent cx="594000" cy="723600"/>
          <wp:effectExtent l="0" t="0" r="0" b="635"/>
          <wp:docPr id="2" name="Рисунок 2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E0"/>
    <w:rsid w:val="001F6506"/>
    <w:rsid w:val="0026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17F1B-B2B5-43EE-A40C-C5FCED7A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D5ECCBEED2BD8052A21288B9D151C4B4FCB96680797F283041D239DC099BFF4490D9821018F568A4FEAC9E55288BD1C96FB70EA10D9BwCRA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3465</Words>
  <Characters>19752</Characters>
  <Application>Microsoft Office Word</Application>
  <DocSecurity>0</DocSecurity>
  <Lines>164</Lines>
  <Paragraphs>46</Paragraphs>
  <ScaleCrop>false</ScaleCrop>
  <Company/>
  <LinksUpToDate>false</LinksUpToDate>
  <CharactersWithSpaces>23171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2022-12-28T05:24:00Z</dcterms:created>
  <dcterms:modified xsi:type="dcterms:W3CDTF">2022-12-28T05:26:00Z</dcterms:modified>
</cp:coreProperties>
</file>